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52B" w:rsidRPr="007849E8" w:rsidRDefault="00E0352B" w:rsidP="00E0352B">
      <w:pPr>
        <w:tabs>
          <w:tab w:val="center" w:pos="4536"/>
          <w:tab w:val="right" w:pos="9072"/>
        </w:tabs>
        <w:jc w:val="right"/>
        <w:rPr>
          <w:rFonts w:ascii="Garamond" w:hAnsi="Garamond"/>
          <w:i/>
          <w:szCs w:val="24"/>
        </w:rPr>
      </w:pPr>
      <w:bookmarkStart w:id="0" w:name="_GoBack"/>
      <w:bookmarkEnd w:id="0"/>
      <w:r>
        <w:rPr>
          <w:rFonts w:ascii="Garamond" w:hAnsi="Garamond"/>
          <w:i/>
          <w:szCs w:val="24"/>
        </w:rPr>
        <w:t>Warszawa</w:t>
      </w:r>
      <w:r w:rsidRPr="007849E8">
        <w:rPr>
          <w:rFonts w:ascii="Garamond" w:hAnsi="Garamond"/>
          <w:i/>
          <w:szCs w:val="24"/>
        </w:rPr>
        <w:t xml:space="preserve">, </w:t>
      </w:r>
      <w:r>
        <w:rPr>
          <w:rFonts w:ascii="Garamond" w:hAnsi="Garamond"/>
          <w:i/>
          <w:szCs w:val="24"/>
        </w:rPr>
        <w:t>13</w:t>
      </w:r>
      <w:r w:rsidRPr="007849E8">
        <w:rPr>
          <w:rFonts w:ascii="Garamond" w:hAnsi="Garamond"/>
          <w:i/>
          <w:szCs w:val="24"/>
        </w:rPr>
        <w:t xml:space="preserve"> </w:t>
      </w:r>
      <w:r>
        <w:rPr>
          <w:rFonts w:ascii="Garamond" w:hAnsi="Garamond"/>
          <w:i/>
          <w:szCs w:val="24"/>
        </w:rPr>
        <w:t>stycznia</w:t>
      </w:r>
      <w:r w:rsidRPr="007849E8">
        <w:rPr>
          <w:rFonts w:ascii="Garamond" w:hAnsi="Garamond"/>
          <w:i/>
          <w:szCs w:val="24"/>
        </w:rPr>
        <w:t xml:space="preserve"> 202</w:t>
      </w:r>
      <w:r>
        <w:rPr>
          <w:rFonts w:ascii="Garamond" w:hAnsi="Garamond"/>
          <w:i/>
          <w:szCs w:val="24"/>
        </w:rPr>
        <w:t>1</w:t>
      </w:r>
      <w:r w:rsidRPr="007849E8">
        <w:rPr>
          <w:rFonts w:ascii="Garamond" w:hAnsi="Garamond"/>
          <w:i/>
          <w:szCs w:val="24"/>
        </w:rPr>
        <w:t xml:space="preserve"> r.</w:t>
      </w:r>
    </w:p>
    <w:p w:rsidR="00E0352B" w:rsidRPr="007849E8" w:rsidRDefault="00E0352B" w:rsidP="00E0352B">
      <w:pPr>
        <w:tabs>
          <w:tab w:val="center" w:pos="4536"/>
          <w:tab w:val="right" w:pos="9072"/>
        </w:tabs>
        <w:jc w:val="center"/>
        <w:rPr>
          <w:rFonts w:ascii="Garamond" w:hAnsi="Garamond"/>
          <w:b/>
          <w:szCs w:val="24"/>
        </w:rPr>
      </w:pPr>
    </w:p>
    <w:p w:rsidR="00E0352B" w:rsidRDefault="00E0352B" w:rsidP="00E0352B">
      <w:pPr>
        <w:tabs>
          <w:tab w:val="center" w:pos="4536"/>
          <w:tab w:val="right" w:pos="9072"/>
        </w:tabs>
        <w:jc w:val="center"/>
        <w:rPr>
          <w:rFonts w:ascii="Garamond" w:hAnsi="Garamond"/>
          <w:b/>
          <w:szCs w:val="24"/>
        </w:rPr>
      </w:pPr>
      <w:r w:rsidRPr="007849E8">
        <w:rPr>
          <w:rFonts w:ascii="Garamond" w:hAnsi="Garamond"/>
          <w:b/>
          <w:szCs w:val="24"/>
        </w:rPr>
        <w:t>INFORMACJ</w:t>
      </w:r>
      <w:r>
        <w:rPr>
          <w:rFonts w:ascii="Garamond" w:hAnsi="Garamond"/>
          <w:b/>
          <w:szCs w:val="24"/>
        </w:rPr>
        <w:t>A</w:t>
      </w:r>
      <w:r w:rsidRPr="007849E8">
        <w:rPr>
          <w:rFonts w:ascii="Garamond" w:hAnsi="Garamond"/>
          <w:b/>
          <w:szCs w:val="24"/>
        </w:rPr>
        <w:t xml:space="preserve"> PRASOW</w:t>
      </w:r>
      <w:r>
        <w:rPr>
          <w:rFonts w:ascii="Garamond" w:hAnsi="Garamond"/>
          <w:b/>
          <w:szCs w:val="24"/>
        </w:rPr>
        <w:t>A</w:t>
      </w:r>
      <w:r w:rsidRPr="007849E8">
        <w:rPr>
          <w:rFonts w:ascii="Garamond" w:hAnsi="Garamond"/>
          <w:b/>
          <w:szCs w:val="24"/>
        </w:rPr>
        <w:t xml:space="preserve"> NA TEMAT </w:t>
      </w:r>
      <w:r>
        <w:rPr>
          <w:rFonts w:ascii="Garamond" w:hAnsi="Garamond"/>
          <w:b/>
          <w:szCs w:val="24"/>
        </w:rPr>
        <w:t xml:space="preserve">ROZSTRZYGNIĘCIA SPRAWY INFOR BIZNES SP. Z O.O. PRZECIWKO </w:t>
      </w:r>
    </w:p>
    <w:p w:rsidR="00E0352B" w:rsidRPr="007849E8" w:rsidRDefault="00E0352B" w:rsidP="00E0352B">
      <w:pPr>
        <w:tabs>
          <w:tab w:val="center" w:pos="4536"/>
          <w:tab w:val="right" w:pos="9072"/>
        </w:tabs>
        <w:jc w:val="center"/>
        <w:rPr>
          <w:rFonts w:ascii="Garamond" w:hAnsi="Garamond"/>
          <w:b/>
          <w:szCs w:val="24"/>
        </w:rPr>
      </w:pPr>
      <w:r w:rsidRPr="00BA14F5">
        <w:rPr>
          <w:rFonts w:ascii="Garamond" w:hAnsi="Garamond"/>
          <w:b/>
          <w:szCs w:val="24"/>
        </w:rPr>
        <w:t xml:space="preserve">PRESS SERVICE MONITORING MEDIÓW SP. </w:t>
      </w:r>
      <w:r w:rsidRPr="00412736">
        <w:rPr>
          <w:rFonts w:ascii="Garamond" w:hAnsi="Garamond"/>
          <w:b/>
          <w:szCs w:val="24"/>
        </w:rPr>
        <w:t>Z o.o.</w:t>
      </w:r>
    </w:p>
    <w:p w:rsidR="00E0352B" w:rsidRDefault="00E0352B" w:rsidP="00E0352B">
      <w:pPr>
        <w:tabs>
          <w:tab w:val="center" w:pos="4536"/>
          <w:tab w:val="right" w:pos="9072"/>
        </w:tabs>
        <w:rPr>
          <w:rFonts w:ascii="Garamond" w:hAnsi="Garamond"/>
          <w:b/>
          <w:szCs w:val="24"/>
        </w:rPr>
      </w:pPr>
    </w:p>
    <w:p w:rsidR="00E0352B" w:rsidRDefault="00E0352B" w:rsidP="00E0352B">
      <w:pPr>
        <w:tabs>
          <w:tab w:val="center" w:pos="4536"/>
          <w:tab w:val="right" w:pos="9072"/>
        </w:tabs>
        <w:rPr>
          <w:rFonts w:ascii="Garamond" w:hAnsi="Garamond"/>
          <w:b/>
          <w:szCs w:val="24"/>
        </w:rPr>
      </w:pPr>
    </w:p>
    <w:p w:rsidR="00E0352B" w:rsidRDefault="00E0352B" w:rsidP="00E0352B">
      <w:pPr>
        <w:tabs>
          <w:tab w:val="center" w:pos="4536"/>
          <w:tab w:val="right" w:pos="9072"/>
        </w:tabs>
        <w:rPr>
          <w:rFonts w:ascii="Garamond" w:hAnsi="Garamond"/>
          <w:b/>
          <w:szCs w:val="24"/>
        </w:rPr>
      </w:pPr>
      <w:r>
        <w:rPr>
          <w:rFonts w:ascii="Garamond" w:hAnsi="Garamond"/>
          <w:b/>
          <w:szCs w:val="24"/>
        </w:rPr>
        <w:t>[Wyrok Sądu Apelacyjnego w Poznaniu z 15 lipca 2020 r.]</w:t>
      </w:r>
    </w:p>
    <w:p w:rsidR="00E0352B" w:rsidRDefault="00E0352B" w:rsidP="00E0352B">
      <w:pPr>
        <w:tabs>
          <w:tab w:val="center" w:pos="4536"/>
          <w:tab w:val="right" w:pos="9072"/>
        </w:tabs>
        <w:rPr>
          <w:rFonts w:ascii="Garamond" w:hAnsi="Garamond"/>
          <w:b/>
          <w:szCs w:val="24"/>
        </w:rPr>
      </w:pPr>
    </w:p>
    <w:p w:rsidR="00E0352B" w:rsidRDefault="00E0352B" w:rsidP="00E0352B">
      <w:pPr>
        <w:tabs>
          <w:tab w:val="center" w:pos="284"/>
          <w:tab w:val="right" w:pos="9072"/>
        </w:tabs>
        <w:rPr>
          <w:rFonts w:ascii="Garamond" w:eastAsia="Calibri" w:hAnsi="Garamond" w:cs="Helvetica"/>
          <w:bCs/>
          <w:color w:val="000000" w:themeColor="text1"/>
          <w:szCs w:val="24"/>
          <w:lang w:eastAsia="pl-PL"/>
        </w:rPr>
      </w:pPr>
      <w:r w:rsidRPr="00A75F0F">
        <w:rPr>
          <w:rFonts w:ascii="Garamond" w:hAnsi="Garamond"/>
          <w:bCs/>
          <w:szCs w:val="24"/>
        </w:rPr>
        <w:tab/>
      </w:r>
      <w:r w:rsidRPr="00A75F0F">
        <w:rPr>
          <w:rFonts w:ascii="Garamond" w:hAnsi="Garamond"/>
          <w:bCs/>
          <w:szCs w:val="24"/>
        </w:rPr>
        <w:tab/>
        <w:t xml:space="preserve">W dniu 12 stycznia 2021 r. Sąd Apelacyjny w Poznaniu doręczył pełnomocnikom </w:t>
      </w:r>
      <w:proofErr w:type="spellStart"/>
      <w:r w:rsidRPr="00A75F0F">
        <w:rPr>
          <w:rFonts w:ascii="Garamond" w:hAnsi="Garamond"/>
          <w:bCs/>
          <w:szCs w:val="24"/>
        </w:rPr>
        <w:t>Infor</w:t>
      </w:r>
      <w:proofErr w:type="spellEnd"/>
      <w:r w:rsidRPr="00A75F0F">
        <w:rPr>
          <w:rFonts w:ascii="Garamond" w:hAnsi="Garamond"/>
          <w:bCs/>
          <w:szCs w:val="24"/>
        </w:rPr>
        <w:t xml:space="preserve"> Biznes sp. z o.o. wyrok w</w:t>
      </w:r>
      <w:r w:rsidRPr="00A75F0F">
        <w:rPr>
          <w:rFonts w:ascii="Garamond" w:eastAsia="Calibri" w:hAnsi="Garamond" w:cs="Helvetica"/>
          <w:bCs/>
          <w:color w:val="000000" w:themeColor="text1"/>
          <w:szCs w:val="24"/>
          <w:lang w:eastAsia="pl-PL"/>
        </w:rPr>
        <w:t xml:space="preserve"> toczącej się od 2012 r. sprawie przeciwko Press Service Monitoring Mediów sp. z o.o. (sygn. I </w:t>
      </w:r>
      <w:proofErr w:type="spellStart"/>
      <w:r w:rsidRPr="00A75F0F">
        <w:rPr>
          <w:rFonts w:ascii="Garamond" w:eastAsia="Calibri" w:hAnsi="Garamond" w:cs="Helvetica"/>
          <w:bCs/>
          <w:color w:val="000000" w:themeColor="text1"/>
          <w:szCs w:val="24"/>
          <w:lang w:eastAsia="pl-PL"/>
        </w:rPr>
        <w:t>AGa</w:t>
      </w:r>
      <w:proofErr w:type="spellEnd"/>
      <w:r w:rsidRPr="00A75F0F">
        <w:rPr>
          <w:rFonts w:ascii="Garamond" w:eastAsia="Calibri" w:hAnsi="Garamond" w:cs="Helvetica"/>
          <w:bCs/>
          <w:color w:val="000000" w:themeColor="text1"/>
          <w:szCs w:val="24"/>
          <w:lang w:eastAsia="pl-PL"/>
        </w:rPr>
        <w:t xml:space="preserve"> 92/20) w</w:t>
      </w:r>
      <w:r>
        <w:rPr>
          <w:rFonts w:ascii="Garamond" w:eastAsia="Calibri" w:hAnsi="Garamond" w:cs="Helvetica"/>
          <w:bCs/>
          <w:color w:val="000000" w:themeColor="text1"/>
          <w:szCs w:val="24"/>
          <w:lang w:eastAsia="pl-PL"/>
        </w:rPr>
        <w:t xml:space="preserve"> sprawie o zaniechanie </w:t>
      </w:r>
      <w:r w:rsidRPr="007849E8">
        <w:rPr>
          <w:rFonts w:ascii="Garamond" w:eastAsia="Calibri" w:hAnsi="Garamond" w:cs="Helvetica"/>
          <w:bCs/>
          <w:color w:val="000000" w:themeColor="text1"/>
          <w:szCs w:val="24"/>
          <w:lang w:eastAsia="pl-PL"/>
        </w:rPr>
        <w:t>bezumowne</w:t>
      </w:r>
      <w:r>
        <w:rPr>
          <w:rFonts w:ascii="Garamond" w:eastAsia="Calibri" w:hAnsi="Garamond" w:cs="Helvetica"/>
          <w:bCs/>
          <w:color w:val="000000" w:themeColor="text1"/>
          <w:szCs w:val="24"/>
          <w:lang w:eastAsia="pl-PL"/>
        </w:rPr>
        <w:t>go</w:t>
      </w:r>
      <w:r w:rsidRPr="007849E8">
        <w:rPr>
          <w:rFonts w:ascii="Garamond" w:eastAsia="Calibri" w:hAnsi="Garamond" w:cs="Helvetica"/>
          <w:bCs/>
          <w:color w:val="000000" w:themeColor="text1"/>
          <w:szCs w:val="24"/>
          <w:lang w:eastAsia="pl-PL"/>
        </w:rPr>
        <w:t xml:space="preserve"> wykorzystywani</w:t>
      </w:r>
      <w:r>
        <w:rPr>
          <w:rFonts w:ascii="Garamond" w:eastAsia="Calibri" w:hAnsi="Garamond" w:cs="Helvetica"/>
          <w:bCs/>
          <w:color w:val="000000" w:themeColor="text1"/>
          <w:szCs w:val="24"/>
          <w:lang w:eastAsia="pl-PL"/>
        </w:rPr>
        <w:t xml:space="preserve">a </w:t>
      </w:r>
      <w:r w:rsidRPr="007849E8">
        <w:rPr>
          <w:rFonts w:ascii="Garamond" w:eastAsia="Calibri" w:hAnsi="Garamond" w:cs="Helvetica"/>
          <w:bCs/>
          <w:color w:val="000000" w:themeColor="text1"/>
          <w:szCs w:val="24"/>
          <w:lang w:eastAsia="pl-PL"/>
        </w:rPr>
        <w:t>artykułów prasowych i fragmentów całych wydań „Dziennik</w:t>
      </w:r>
      <w:r>
        <w:rPr>
          <w:rFonts w:ascii="Garamond" w:eastAsia="Calibri" w:hAnsi="Garamond" w:cs="Helvetica"/>
          <w:bCs/>
          <w:color w:val="000000" w:themeColor="text1"/>
          <w:szCs w:val="24"/>
          <w:lang w:eastAsia="pl-PL"/>
        </w:rPr>
        <w:t xml:space="preserve">a </w:t>
      </w:r>
      <w:r w:rsidRPr="007849E8">
        <w:rPr>
          <w:rFonts w:ascii="Garamond" w:eastAsia="Calibri" w:hAnsi="Garamond" w:cs="Helvetica"/>
          <w:bCs/>
          <w:color w:val="000000" w:themeColor="text1"/>
          <w:szCs w:val="24"/>
          <w:lang w:eastAsia="pl-PL"/>
        </w:rPr>
        <w:t>Gazet</w:t>
      </w:r>
      <w:r>
        <w:rPr>
          <w:rFonts w:ascii="Garamond" w:eastAsia="Calibri" w:hAnsi="Garamond" w:cs="Helvetica"/>
          <w:bCs/>
          <w:color w:val="000000" w:themeColor="text1"/>
          <w:szCs w:val="24"/>
          <w:lang w:eastAsia="pl-PL"/>
        </w:rPr>
        <w:t>y</w:t>
      </w:r>
      <w:r w:rsidRPr="007849E8">
        <w:rPr>
          <w:rFonts w:ascii="Garamond" w:eastAsia="Calibri" w:hAnsi="Garamond" w:cs="Helvetica"/>
          <w:bCs/>
          <w:color w:val="000000" w:themeColor="text1"/>
          <w:szCs w:val="24"/>
          <w:lang w:eastAsia="pl-PL"/>
        </w:rPr>
        <w:t xml:space="preserve"> Prawn</w:t>
      </w:r>
      <w:r>
        <w:rPr>
          <w:rFonts w:ascii="Garamond" w:eastAsia="Calibri" w:hAnsi="Garamond" w:cs="Helvetica"/>
          <w:bCs/>
          <w:color w:val="000000" w:themeColor="text1"/>
          <w:szCs w:val="24"/>
          <w:lang w:eastAsia="pl-PL"/>
        </w:rPr>
        <w:t>ej</w:t>
      </w:r>
      <w:r w:rsidRPr="007849E8">
        <w:rPr>
          <w:rFonts w:ascii="Garamond" w:eastAsia="Calibri" w:hAnsi="Garamond" w:cs="Helvetica"/>
          <w:bCs/>
          <w:color w:val="000000" w:themeColor="text1"/>
          <w:szCs w:val="24"/>
          <w:lang w:eastAsia="pl-PL"/>
        </w:rPr>
        <w:t xml:space="preserve">” w </w:t>
      </w:r>
      <w:r>
        <w:rPr>
          <w:rFonts w:ascii="Garamond" w:eastAsia="Calibri" w:hAnsi="Garamond" w:cs="Helvetica"/>
          <w:bCs/>
          <w:color w:val="000000" w:themeColor="text1"/>
          <w:szCs w:val="24"/>
          <w:lang w:eastAsia="pl-PL"/>
        </w:rPr>
        <w:t>przeglądach prasy</w:t>
      </w:r>
      <w:r w:rsidRPr="007849E8">
        <w:rPr>
          <w:rFonts w:ascii="Garamond" w:eastAsia="Calibri" w:hAnsi="Garamond" w:cs="Helvetica"/>
          <w:bCs/>
          <w:color w:val="000000" w:themeColor="text1"/>
          <w:szCs w:val="24"/>
          <w:lang w:eastAsia="pl-PL"/>
        </w:rPr>
        <w:t xml:space="preserve"> dostarczanych </w:t>
      </w:r>
      <w:r>
        <w:rPr>
          <w:rFonts w:ascii="Garamond" w:eastAsia="Calibri" w:hAnsi="Garamond" w:cs="Helvetica"/>
          <w:bCs/>
          <w:color w:val="000000" w:themeColor="text1"/>
          <w:szCs w:val="24"/>
          <w:lang w:eastAsia="pl-PL"/>
        </w:rPr>
        <w:t xml:space="preserve">przez Press Service </w:t>
      </w:r>
      <w:r w:rsidRPr="007849E8">
        <w:rPr>
          <w:rFonts w:ascii="Garamond" w:eastAsia="Calibri" w:hAnsi="Garamond" w:cs="Helvetica"/>
          <w:bCs/>
          <w:color w:val="000000" w:themeColor="text1"/>
          <w:szCs w:val="24"/>
          <w:lang w:eastAsia="pl-PL"/>
        </w:rPr>
        <w:t>w ramach usług monitorowania mediów</w:t>
      </w:r>
      <w:r>
        <w:rPr>
          <w:rFonts w:ascii="Garamond" w:eastAsia="Calibri" w:hAnsi="Garamond" w:cs="Helvetica"/>
          <w:bCs/>
          <w:color w:val="000000" w:themeColor="text1"/>
          <w:szCs w:val="24"/>
          <w:lang w:eastAsia="pl-PL"/>
        </w:rPr>
        <w:t xml:space="preserve">. Sąd ostatecznie przesądził, że </w:t>
      </w:r>
      <w:r w:rsidRPr="007849E8">
        <w:rPr>
          <w:rFonts w:ascii="Garamond" w:eastAsia="Calibri" w:hAnsi="Garamond" w:cs="Helvetica"/>
          <w:bCs/>
          <w:color w:val="000000" w:themeColor="text1"/>
          <w:szCs w:val="24"/>
          <w:lang w:eastAsia="pl-PL"/>
        </w:rPr>
        <w:t>Press Service</w:t>
      </w:r>
      <w:r>
        <w:rPr>
          <w:rFonts w:ascii="Garamond" w:eastAsia="Calibri" w:hAnsi="Garamond" w:cs="Helvetica"/>
          <w:bCs/>
          <w:color w:val="000000" w:themeColor="text1"/>
          <w:szCs w:val="24"/>
          <w:lang w:eastAsia="pl-PL"/>
        </w:rPr>
        <w:t xml:space="preserve"> dla uzasadnienia swojej działalności </w:t>
      </w:r>
      <w:r w:rsidRPr="007849E8">
        <w:rPr>
          <w:rFonts w:ascii="Garamond" w:eastAsia="Calibri" w:hAnsi="Garamond" w:cs="Helvetica"/>
          <w:bCs/>
          <w:color w:val="000000" w:themeColor="text1"/>
          <w:szCs w:val="24"/>
          <w:lang w:eastAsia="pl-PL"/>
        </w:rPr>
        <w:t xml:space="preserve">nie może </w:t>
      </w:r>
      <w:r>
        <w:rPr>
          <w:rFonts w:ascii="Garamond" w:eastAsia="Calibri" w:hAnsi="Garamond" w:cs="Helvetica"/>
          <w:bCs/>
          <w:color w:val="000000" w:themeColor="text1"/>
          <w:szCs w:val="24"/>
          <w:lang w:eastAsia="pl-PL"/>
        </w:rPr>
        <w:t>powoływać się na</w:t>
      </w:r>
      <w:r w:rsidRPr="007849E8">
        <w:rPr>
          <w:rFonts w:ascii="Garamond" w:eastAsia="Calibri" w:hAnsi="Garamond" w:cs="Helvetica"/>
          <w:bCs/>
          <w:color w:val="000000" w:themeColor="text1"/>
          <w:szCs w:val="24"/>
          <w:lang w:eastAsia="pl-PL"/>
        </w:rPr>
        <w:t xml:space="preserve"> jakiejkolwiek instytucj</w:t>
      </w:r>
      <w:r>
        <w:rPr>
          <w:rFonts w:ascii="Garamond" w:eastAsia="Calibri" w:hAnsi="Garamond" w:cs="Helvetica"/>
          <w:bCs/>
          <w:color w:val="000000" w:themeColor="text1"/>
          <w:szCs w:val="24"/>
          <w:lang w:eastAsia="pl-PL"/>
        </w:rPr>
        <w:t xml:space="preserve">e </w:t>
      </w:r>
      <w:r w:rsidRPr="007849E8">
        <w:rPr>
          <w:rFonts w:ascii="Garamond" w:eastAsia="Calibri" w:hAnsi="Garamond" w:cs="Helvetica"/>
          <w:bCs/>
          <w:color w:val="000000" w:themeColor="text1"/>
          <w:szCs w:val="24"/>
          <w:lang w:eastAsia="pl-PL"/>
        </w:rPr>
        <w:t>dozwolonego użytku utworów</w:t>
      </w:r>
      <w:r>
        <w:rPr>
          <w:rFonts w:ascii="Garamond" w:eastAsia="Calibri" w:hAnsi="Garamond" w:cs="Helvetica"/>
          <w:bCs/>
          <w:color w:val="000000" w:themeColor="text1"/>
          <w:szCs w:val="24"/>
          <w:lang w:eastAsia="pl-PL"/>
        </w:rPr>
        <w:t>, a zatem wobec braku zawartej umowy licencyjnej z wydawcą, działanie Press Service w tym zakresie stano</w:t>
      </w:r>
      <w:r w:rsidRPr="007849E8">
        <w:rPr>
          <w:rFonts w:ascii="Garamond" w:eastAsia="Calibri" w:hAnsi="Garamond" w:cs="Helvetica"/>
          <w:bCs/>
          <w:color w:val="000000" w:themeColor="text1"/>
          <w:szCs w:val="24"/>
          <w:lang w:eastAsia="pl-PL"/>
        </w:rPr>
        <w:t xml:space="preserve">wi naruszenie </w:t>
      </w:r>
      <w:r>
        <w:rPr>
          <w:rFonts w:ascii="Garamond" w:eastAsia="Calibri" w:hAnsi="Garamond" w:cs="Helvetica"/>
          <w:bCs/>
          <w:color w:val="000000" w:themeColor="text1"/>
          <w:szCs w:val="24"/>
          <w:lang w:eastAsia="pl-PL"/>
        </w:rPr>
        <w:t xml:space="preserve">jego majątkowych </w:t>
      </w:r>
      <w:r w:rsidRPr="007849E8">
        <w:rPr>
          <w:rFonts w:ascii="Garamond" w:eastAsia="Calibri" w:hAnsi="Garamond" w:cs="Helvetica"/>
          <w:bCs/>
          <w:color w:val="000000" w:themeColor="text1"/>
          <w:szCs w:val="24"/>
          <w:lang w:eastAsia="pl-PL"/>
        </w:rPr>
        <w:t>praw autorskich</w:t>
      </w:r>
      <w:r>
        <w:rPr>
          <w:rFonts w:ascii="Garamond" w:eastAsia="Calibri" w:hAnsi="Garamond" w:cs="Helvetica"/>
          <w:bCs/>
          <w:color w:val="000000" w:themeColor="text1"/>
          <w:szCs w:val="24"/>
          <w:lang w:eastAsia="pl-PL"/>
        </w:rPr>
        <w:t>. Sąd w pełni uwzględnił powództwo wyda</w:t>
      </w:r>
      <w:r w:rsidR="00BA14F5">
        <w:rPr>
          <w:rFonts w:ascii="Garamond" w:eastAsia="Calibri" w:hAnsi="Garamond" w:cs="Helvetica"/>
          <w:bCs/>
          <w:color w:val="000000" w:themeColor="text1"/>
          <w:szCs w:val="24"/>
          <w:lang w:eastAsia="pl-PL"/>
        </w:rPr>
        <w:t>wcy „DGP” zakazując Press Service</w:t>
      </w:r>
      <w:r>
        <w:rPr>
          <w:rFonts w:ascii="Garamond" w:eastAsia="Calibri" w:hAnsi="Garamond" w:cs="Helvetica"/>
          <w:bCs/>
          <w:color w:val="000000" w:themeColor="text1"/>
          <w:szCs w:val="24"/>
          <w:lang w:eastAsia="pl-PL"/>
        </w:rPr>
        <w:t xml:space="preserve"> naruszania autorskich jego praw majątkowych, nakazując zaniechanie ich zwielokrotniania i udostępniania klientom Press Service a także nakazując usunięcie ich ze wszystkich zbiorów a także poinformowanie jego klientów o bezprawnych charakterze tego korzystania przez Press Service i złożenia stosownych oświadczeń prasowych.</w:t>
      </w:r>
    </w:p>
    <w:p w:rsidR="00E0352B" w:rsidRDefault="00E0352B" w:rsidP="00E0352B">
      <w:pPr>
        <w:tabs>
          <w:tab w:val="center" w:pos="284"/>
          <w:tab w:val="right" w:pos="9072"/>
        </w:tabs>
        <w:rPr>
          <w:rFonts w:ascii="Garamond" w:hAnsi="Garamond"/>
          <w:bCs/>
          <w:szCs w:val="24"/>
        </w:rPr>
      </w:pPr>
      <w:r>
        <w:rPr>
          <w:rFonts w:ascii="Garamond" w:hAnsi="Garamond"/>
          <w:bCs/>
          <w:szCs w:val="24"/>
        </w:rPr>
        <w:tab/>
      </w:r>
      <w:r>
        <w:rPr>
          <w:rFonts w:ascii="Garamond" w:hAnsi="Garamond"/>
          <w:bCs/>
          <w:szCs w:val="24"/>
        </w:rPr>
        <w:tab/>
      </w:r>
      <w:r w:rsidRPr="00A75F0F">
        <w:rPr>
          <w:rFonts w:ascii="Garamond" w:hAnsi="Garamond"/>
          <w:bCs/>
          <w:szCs w:val="24"/>
        </w:rPr>
        <w:t>Ostatnia rozprawa przed Sądem Apelacyjnym w Poznaniu odbyła się 15 lipca 2020 r., natomiast jego ogłoszenie nastąpiło na posiedzeniu niejawnym, bez udziału stron zgodnie z przepisami o zapobieganiu zagrożeniom epidemicznym</w:t>
      </w:r>
      <w:r>
        <w:rPr>
          <w:rFonts w:ascii="Garamond" w:hAnsi="Garamond"/>
          <w:bCs/>
          <w:szCs w:val="24"/>
        </w:rPr>
        <w:t>. Wyrok jest datowany również na 15 lipca 2020 r.</w:t>
      </w:r>
    </w:p>
    <w:p w:rsidR="00E0352B" w:rsidRPr="00412736" w:rsidRDefault="00E0352B" w:rsidP="00E0352B">
      <w:pPr>
        <w:tabs>
          <w:tab w:val="center" w:pos="284"/>
          <w:tab w:val="right" w:pos="9072"/>
        </w:tabs>
        <w:ind w:firstLine="284"/>
        <w:rPr>
          <w:rFonts w:ascii="Garamond" w:hAnsi="Garamond"/>
          <w:bCs/>
          <w:szCs w:val="24"/>
        </w:rPr>
      </w:pPr>
      <w:r>
        <w:rPr>
          <w:rFonts w:ascii="Garamond" w:hAnsi="Garamond"/>
          <w:bCs/>
          <w:szCs w:val="24"/>
        </w:rPr>
        <w:t xml:space="preserve">Pełnomocnicy </w:t>
      </w:r>
      <w:proofErr w:type="spellStart"/>
      <w:r>
        <w:rPr>
          <w:rFonts w:ascii="Garamond" w:hAnsi="Garamond"/>
          <w:bCs/>
          <w:szCs w:val="24"/>
        </w:rPr>
        <w:t>Infor</w:t>
      </w:r>
      <w:proofErr w:type="spellEnd"/>
      <w:r>
        <w:rPr>
          <w:rFonts w:ascii="Garamond" w:hAnsi="Garamond"/>
          <w:bCs/>
          <w:szCs w:val="24"/>
        </w:rPr>
        <w:t xml:space="preserve"> Biznes wnieśli o sporządzenie i doręczenie uzasadnienia tego wyroku.</w:t>
      </w:r>
    </w:p>
    <w:p w:rsidR="00E0352B" w:rsidRDefault="00E0352B" w:rsidP="00E0352B">
      <w:pPr>
        <w:tabs>
          <w:tab w:val="left" w:pos="426"/>
        </w:tabs>
        <w:rPr>
          <w:rFonts w:ascii="Garamond" w:hAnsi="Garamond"/>
          <w:szCs w:val="24"/>
        </w:rPr>
      </w:pPr>
    </w:p>
    <w:p w:rsidR="00E0352B" w:rsidRPr="00796BCF" w:rsidRDefault="00E0352B" w:rsidP="00E0352B">
      <w:pPr>
        <w:tabs>
          <w:tab w:val="left" w:pos="426"/>
        </w:tabs>
        <w:rPr>
          <w:rFonts w:ascii="Garamond" w:hAnsi="Garamond"/>
          <w:b/>
          <w:bCs/>
          <w:szCs w:val="24"/>
        </w:rPr>
      </w:pPr>
      <w:r w:rsidRPr="00796BCF">
        <w:rPr>
          <w:rFonts w:ascii="Garamond" w:hAnsi="Garamond"/>
          <w:b/>
          <w:bCs/>
          <w:szCs w:val="24"/>
        </w:rPr>
        <w:t>[Wyrok Sądu Najwyższego</w:t>
      </w:r>
      <w:r>
        <w:rPr>
          <w:rFonts w:ascii="Garamond" w:hAnsi="Garamond"/>
          <w:b/>
          <w:bCs/>
          <w:szCs w:val="24"/>
        </w:rPr>
        <w:t xml:space="preserve"> poprzedzający Wyrok Sądu Apelacyjnego w Poznaniu</w:t>
      </w:r>
      <w:r w:rsidRPr="00796BCF">
        <w:rPr>
          <w:rFonts w:ascii="Garamond" w:hAnsi="Garamond"/>
          <w:b/>
          <w:bCs/>
          <w:szCs w:val="24"/>
        </w:rPr>
        <w:t>]</w:t>
      </w:r>
    </w:p>
    <w:p w:rsidR="00E0352B" w:rsidRDefault="00E0352B" w:rsidP="00E0352B">
      <w:pPr>
        <w:tabs>
          <w:tab w:val="left" w:pos="426"/>
        </w:tabs>
        <w:rPr>
          <w:rFonts w:ascii="Garamond" w:hAnsi="Garamond"/>
          <w:szCs w:val="24"/>
        </w:rPr>
      </w:pPr>
    </w:p>
    <w:p w:rsidR="00E0352B" w:rsidRDefault="00E0352B" w:rsidP="00E0352B">
      <w:pPr>
        <w:tabs>
          <w:tab w:val="left" w:pos="426"/>
        </w:tabs>
        <w:rPr>
          <w:rFonts w:ascii="Garamond" w:hAnsi="Garamond"/>
          <w:szCs w:val="24"/>
        </w:rPr>
      </w:pPr>
      <w:r>
        <w:rPr>
          <w:rFonts w:ascii="Garamond" w:hAnsi="Garamond"/>
          <w:szCs w:val="24"/>
        </w:rPr>
        <w:tab/>
        <w:t xml:space="preserve">Opisany wyżej wyrok Sądu Apelacyjnego został wydany w następstwie uwzględnionej przez Sąd Najwyższy skargi kasacyjnej </w:t>
      </w:r>
      <w:proofErr w:type="spellStart"/>
      <w:r>
        <w:rPr>
          <w:rFonts w:ascii="Garamond" w:hAnsi="Garamond"/>
          <w:szCs w:val="24"/>
        </w:rPr>
        <w:t>Infor</w:t>
      </w:r>
      <w:proofErr w:type="spellEnd"/>
      <w:r>
        <w:rPr>
          <w:rFonts w:ascii="Garamond" w:hAnsi="Garamond"/>
          <w:szCs w:val="24"/>
        </w:rPr>
        <w:t xml:space="preserve"> Biznes na poprzednie orzeczenie Sądu Apelacyjnego w Poznaniu. Wyrokiem z dnia</w:t>
      </w:r>
      <w:r w:rsidRPr="007849E8">
        <w:rPr>
          <w:rFonts w:ascii="Garamond" w:hAnsi="Garamond"/>
          <w:szCs w:val="24"/>
        </w:rPr>
        <w:t xml:space="preserve"> 9 sierpnia 2019 r. </w:t>
      </w:r>
      <w:r>
        <w:rPr>
          <w:rFonts w:ascii="Garamond" w:eastAsia="Calibri" w:hAnsi="Garamond" w:cs="Helvetica"/>
          <w:bCs/>
          <w:color w:val="000000" w:themeColor="text1"/>
          <w:szCs w:val="24"/>
          <w:lang w:eastAsia="pl-PL"/>
        </w:rPr>
        <w:t xml:space="preserve">(sygn. II CSK 7/18) </w:t>
      </w:r>
      <w:r w:rsidRPr="007849E8">
        <w:rPr>
          <w:rFonts w:ascii="Garamond" w:hAnsi="Garamond"/>
          <w:szCs w:val="24"/>
        </w:rPr>
        <w:t xml:space="preserve">Sąd Najwyższy </w:t>
      </w:r>
      <w:r>
        <w:rPr>
          <w:rFonts w:ascii="Garamond" w:hAnsi="Garamond"/>
          <w:szCs w:val="24"/>
        </w:rPr>
        <w:t>przesądził, że cytat nie może być podstawą uzasadniającą bezumowne korzystanie przez Press Service z artykułów prasowych i fragmentów wydań „DGP”.</w:t>
      </w:r>
    </w:p>
    <w:p w:rsidR="00E0352B" w:rsidRDefault="00E0352B" w:rsidP="00E0352B">
      <w:pPr>
        <w:tabs>
          <w:tab w:val="left" w:pos="426"/>
          <w:tab w:val="left" w:pos="1868"/>
        </w:tabs>
        <w:rPr>
          <w:rFonts w:ascii="Garamond" w:hAnsi="Garamond"/>
          <w:b/>
          <w:bCs/>
          <w:szCs w:val="24"/>
        </w:rPr>
      </w:pPr>
    </w:p>
    <w:p w:rsidR="00E0352B" w:rsidRDefault="00E0352B" w:rsidP="00E0352B">
      <w:pPr>
        <w:tabs>
          <w:tab w:val="left" w:pos="426"/>
          <w:tab w:val="left" w:pos="1868"/>
        </w:tabs>
        <w:rPr>
          <w:rFonts w:ascii="Garamond" w:hAnsi="Garamond"/>
          <w:b/>
          <w:bCs/>
          <w:szCs w:val="24"/>
        </w:rPr>
      </w:pPr>
      <w:r w:rsidRPr="00176801">
        <w:rPr>
          <w:rFonts w:ascii="Garamond" w:hAnsi="Garamond"/>
          <w:b/>
          <w:bCs/>
          <w:szCs w:val="24"/>
        </w:rPr>
        <w:t>[</w:t>
      </w:r>
      <w:r w:rsidRPr="00796BCF">
        <w:rPr>
          <w:rFonts w:ascii="Garamond" w:hAnsi="Garamond"/>
          <w:b/>
          <w:bCs/>
          <w:szCs w:val="24"/>
        </w:rPr>
        <w:t>Wyrok Sądu Najwyższego</w:t>
      </w:r>
      <w:r>
        <w:rPr>
          <w:rFonts w:ascii="Garamond" w:hAnsi="Garamond"/>
          <w:b/>
          <w:bCs/>
          <w:szCs w:val="24"/>
        </w:rPr>
        <w:t>: p</w:t>
      </w:r>
      <w:r w:rsidRPr="00176801">
        <w:rPr>
          <w:rFonts w:ascii="Garamond" w:hAnsi="Garamond"/>
          <w:b/>
          <w:bCs/>
          <w:szCs w:val="24"/>
        </w:rPr>
        <w:t xml:space="preserve">rawo cytatu a działalność Press Service] </w:t>
      </w:r>
    </w:p>
    <w:p w:rsidR="00E0352B" w:rsidRPr="00176801" w:rsidRDefault="00E0352B" w:rsidP="00E0352B">
      <w:pPr>
        <w:tabs>
          <w:tab w:val="left" w:pos="426"/>
          <w:tab w:val="left" w:pos="1868"/>
        </w:tabs>
        <w:rPr>
          <w:rFonts w:ascii="Garamond" w:hAnsi="Garamond"/>
          <w:b/>
          <w:bCs/>
          <w:szCs w:val="24"/>
        </w:rPr>
      </w:pPr>
    </w:p>
    <w:p w:rsidR="00E0352B" w:rsidRPr="00756B31" w:rsidRDefault="00E0352B" w:rsidP="00E0352B">
      <w:pPr>
        <w:tabs>
          <w:tab w:val="left" w:pos="426"/>
          <w:tab w:val="left" w:pos="1868"/>
        </w:tabs>
        <w:rPr>
          <w:rFonts w:ascii="Garamond" w:hAnsi="Garamond"/>
          <w:color w:val="000000"/>
          <w:szCs w:val="24"/>
        </w:rPr>
      </w:pPr>
      <w:r w:rsidRPr="007849E8">
        <w:rPr>
          <w:rFonts w:ascii="Garamond" w:hAnsi="Garamond"/>
          <w:szCs w:val="24"/>
        </w:rPr>
        <w:tab/>
        <w:t xml:space="preserve">Orzekając o zasadności skargi kasacyjnej </w:t>
      </w:r>
      <w:proofErr w:type="spellStart"/>
      <w:r w:rsidRPr="007849E8">
        <w:rPr>
          <w:rFonts w:ascii="Garamond" w:hAnsi="Garamond"/>
          <w:szCs w:val="24"/>
        </w:rPr>
        <w:t>Infor</w:t>
      </w:r>
      <w:proofErr w:type="spellEnd"/>
      <w:r w:rsidRPr="007849E8">
        <w:rPr>
          <w:rFonts w:ascii="Garamond" w:hAnsi="Garamond"/>
          <w:szCs w:val="24"/>
        </w:rPr>
        <w:t xml:space="preserve"> Biznes</w:t>
      </w:r>
      <w:r>
        <w:rPr>
          <w:rFonts w:ascii="Garamond" w:hAnsi="Garamond"/>
          <w:szCs w:val="24"/>
        </w:rPr>
        <w:t>,</w:t>
      </w:r>
      <w:r w:rsidRPr="007849E8">
        <w:rPr>
          <w:rFonts w:ascii="Garamond" w:hAnsi="Garamond"/>
          <w:szCs w:val="24"/>
        </w:rPr>
        <w:t xml:space="preserve"> Sąd Najwyższy stwierdził, że przejmowani</w:t>
      </w:r>
      <w:r>
        <w:rPr>
          <w:rFonts w:ascii="Garamond" w:hAnsi="Garamond"/>
          <w:szCs w:val="24"/>
        </w:rPr>
        <w:t>e</w:t>
      </w:r>
      <w:r w:rsidRPr="007849E8">
        <w:rPr>
          <w:rFonts w:ascii="Garamond" w:hAnsi="Garamond"/>
          <w:szCs w:val="24"/>
        </w:rPr>
        <w:t xml:space="preserve"> w ramach przeglądów prasy artykułów </w:t>
      </w:r>
      <w:r>
        <w:rPr>
          <w:rFonts w:ascii="Garamond" w:hAnsi="Garamond"/>
          <w:szCs w:val="24"/>
        </w:rPr>
        <w:t>z „DGP”</w:t>
      </w:r>
      <w:r w:rsidRPr="00B314FE">
        <w:rPr>
          <w:rFonts w:ascii="Garamond" w:hAnsi="Garamond"/>
          <w:szCs w:val="24"/>
        </w:rPr>
        <w:t xml:space="preserve"> </w:t>
      </w:r>
      <w:r w:rsidRPr="007849E8">
        <w:rPr>
          <w:rFonts w:ascii="Garamond" w:hAnsi="Garamond"/>
          <w:szCs w:val="24"/>
        </w:rPr>
        <w:t>stanowiących utwory nie może być uzasadnion</w:t>
      </w:r>
      <w:r>
        <w:rPr>
          <w:rFonts w:ascii="Garamond" w:hAnsi="Garamond"/>
          <w:szCs w:val="24"/>
        </w:rPr>
        <w:t>e</w:t>
      </w:r>
      <w:r w:rsidRPr="007849E8">
        <w:rPr>
          <w:rFonts w:ascii="Garamond" w:hAnsi="Garamond"/>
          <w:szCs w:val="24"/>
        </w:rPr>
        <w:t xml:space="preserve"> działaniem w ramach prawa cytatu, o którym mowa w art. 29 prawa autorskiego. Jak wskazał Sąd Najwyższy: „</w:t>
      </w:r>
      <w:r w:rsidRPr="007849E8">
        <w:rPr>
          <w:rFonts w:ascii="Garamond" w:hAnsi="Garamond"/>
          <w:color w:val="000000"/>
          <w:szCs w:val="24"/>
        </w:rPr>
        <w:t xml:space="preserve">użytkownik powołujący się na prawo cytatu przewidziane w art. 29 ust. 1 </w:t>
      </w:r>
      <w:proofErr w:type="spellStart"/>
      <w:r w:rsidRPr="007849E8">
        <w:rPr>
          <w:rFonts w:ascii="Garamond" w:hAnsi="Garamond"/>
          <w:color w:val="000000"/>
          <w:szCs w:val="24"/>
        </w:rPr>
        <w:t>u.p.a.p.p</w:t>
      </w:r>
      <w:proofErr w:type="spellEnd"/>
      <w:r w:rsidRPr="007849E8">
        <w:rPr>
          <w:rFonts w:ascii="Garamond" w:hAnsi="Garamond"/>
          <w:color w:val="000000"/>
          <w:szCs w:val="24"/>
        </w:rPr>
        <w:t xml:space="preserve">. winien wykazać, że użył go w sposób uzasadniony treścią własnej wypowiedzi, w której cytat został wykorzystany, w celu unaocznienia recenzowanych wywodów lub zilustrowania krytykowanego poglądu. Nie chodzi więc o proste włączenie cudzego utworu do własnego lecz o uczynienie tego w sposób uzasadniony tokiem argumentacji i usprawiedliwioną potrzebą precyzyjnego przytoczenia cudzego spostrzeżenia czy tezy. Takie uzasadnienie wykorzystania cytatu musi wystąpić również w razie powołania się na prawa gatunku twórczości, także bowiem w tym wypadku cytat musi być umotywowany celem jaki pełni w świetle omawianych przepisów, to znaczy ma konfrontować własne stanowisko lub poglądy użytkownika korzystającego z cytatu z tymi, jakie przekazuje zacytowany utwór.” </w:t>
      </w:r>
    </w:p>
    <w:p w:rsidR="002E3B7F" w:rsidRDefault="00E0352B" w:rsidP="00E0352B">
      <w:pPr>
        <w:rPr>
          <w:rFonts w:ascii="Garamond" w:hAnsi="Garamond"/>
          <w:color w:val="000000"/>
          <w:szCs w:val="24"/>
        </w:rPr>
      </w:pPr>
      <w:r w:rsidRPr="007849E8">
        <w:rPr>
          <w:rFonts w:ascii="Garamond" w:hAnsi="Garamond"/>
          <w:szCs w:val="24"/>
        </w:rPr>
        <w:t>Odnosząc to do usług świadczonych przez Press Service Sąd stwierdził, że „</w:t>
      </w:r>
      <w:r w:rsidRPr="007849E8">
        <w:rPr>
          <w:rFonts w:ascii="Garamond" w:hAnsi="Garamond"/>
          <w:color w:val="000000"/>
          <w:szCs w:val="24"/>
        </w:rPr>
        <w:t>Jeżeli uznać pozwanego za reprezentatywny przykład podmiotu działającego na tym rynku, należałoby stwierdzić, że firmy monitorujące media realizują swoje zadania wyszukując interesujące zamawiającego publikacje, dokonują ich krytycznej oceny tworząc zestawienie uzupełnione własnym omówieniem oraz udostępniają je zamawiającemu wraz ze skanami omówionych artykułów”</w:t>
      </w:r>
      <w:r>
        <w:rPr>
          <w:rFonts w:ascii="Garamond" w:hAnsi="Garamond"/>
          <w:color w:val="000000"/>
          <w:szCs w:val="24"/>
        </w:rPr>
        <w:t>.</w:t>
      </w:r>
      <w:r w:rsidRPr="007849E8">
        <w:rPr>
          <w:rFonts w:ascii="Garamond" w:hAnsi="Garamond"/>
          <w:color w:val="000000"/>
          <w:szCs w:val="24"/>
        </w:rPr>
        <w:t xml:space="preserve"> Poddając to działanie ocenie na gruncie art. 29 prawa autorskie</w:t>
      </w:r>
      <w:r>
        <w:rPr>
          <w:rFonts w:ascii="Garamond" w:hAnsi="Garamond"/>
          <w:color w:val="000000"/>
          <w:szCs w:val="24"/>
        </w:rPr>
        <w:t>go</w:t>
      </w:r>
      <w:r w:rsidRPr="007849E8">
        <w:rPr>
          <w:rFonts w:ascii="Garamond" w:hAnsi="Garamond"/>
          <w:color w:val="000000"/>
          <w:szCs w:val="24"/>
        </w:rPr>
        <w:t xml:space="preserve"> Sąd </w:t>
      </w:r>
      <w:r>
        <w:rPr>
          <w:rFonts w:ascii="Garamond" w:hAnsi="Garamond"/>
          <w:color w:val="000000"/>
          <w:szCs w:val="24"/>
        </w:rPr>
        <w:t xml:space="preserve">Najwyższy </w:t>
      </w:r>
      <w:r w:rsidRPr="007849E8">
        <w:rPr>
          <w:rFonts w:ascii="Garamond" w:hAnsi="Garamond"/>
          <w:color w:val="000000"/>
          <w:szCs w:val="24"/>
        </w:rPr>
        <w:t xml:space="preserve">zgodził się ze stanowiskiem </w:t>
      </w:r>
      <w:proofErr w:type="spellStart"/>
      <w:r w:rsidRPr="007849E8">
        <w:rPr>
          <w:rFonts w:ascii="Garamond" w:hAnsi="Garamond"/>
          <w:color w:val="000000"/>
          <w:szCs w:val="24"/>
        </w:rPr>
        <w:t>Infor</w:t>
      </w:r>
      <w:proofErr w:type="spellEnd"/>
      <w:r w:rsidRPr="007849E8">
        <w:rPr>
          <w:rFonts w:ascii="Garamond" w:hAnsi="Garamond"/>
          <w:color w:val="000000"/>
          <w:szCs w:val="24"/>
        </w:rPr>
        <w:t xml:space="preserve"> Biznes, że nie można powoływać się na przesłankę </w:t>
      </w:r>
      <w:r>
        <w:rPr>
          <w:rFonts w:ascii="Garamond" w:hAnsi="Garamond"/>
          <w:color w:val="000000"/>
          <w:szCs w:val="24"/>
        </w:rPr>
        <w:t xml:space="preserve">uzasadniającą </w:t>
      </w:r>
      <w:r w:rsidRPr="007849E8">
        <w:rPr>
          <w:rFonts w:ascii="Garamond" w:hAnsi="Garamond"/>
          <w:color w:val="000000"/>
          <w:szCs w:val="24"/>
        </w:rPr>
        <w:t>cel cytowania w postaci praw</w:t>
      </w:r>
      <w:r>
        <w:rPr>
          <w:rFonts w:ascii="Garamond" w:hAnsi="Garamond"/>
          <w:color w:val="000000"/>
          <w:szCs w:val="24"/>
        </w:rPr>
        <w:t>a</w:t>
      </w:r>
      <w:r w:rsidRPr="007849E8">
        <w:rPr>
          <w:rFonts w:ascii="Garamond" w:hAnsi="Garamond"/>
          <w:color w:val="000000"/>
          <w:szCs w:val="24"/>
        </w:rPr>
        <w:t xml:space="preserve"> gatunku twórczości w sposób dowolnie szeroki. Przepis ten bowiem</w:t>
      </w:r>
    </w:p>
    <w:p w:rsidR="00E0352B" w:rsidRPr="007849E8" w:rsidRDefault="00E0352B" w:rsidP="00E0352B">
      <w:pPr>
        <w:tabs>
          <w:tab w:val="left" w:pos="1868"/>
        </w:tabs>
        <w:ind w:firstLine="426"/>
        <w:rPr>
          <w:rFonts w:ascii="Garamond" w:hAnsi="Garamond"/>
          <w:color w:val="000000"/>
          <w:szCs w:val="24"/>
        </w:rPr>
      </w:pPr>
      <w:r w:rsidRPr="007849E8">
        <w:rPr>
          <w:rFonts w:ascii="Garamond" w:hAnsi="Garamond"/>
          <w:color w:val="000000"/>
          <w:szCs w:val="24"/>
        </w:rPr>
        <w:t xml:space="preserve">należy interpretować w świetle granic prawa cytatu, które wyznaczają art. 5 ust. 3 i 5 </w:t>
      </w:r>
      <w:r w:rsidRPr="007849E8">
        <w:rPr>
          <w:rFonts w:ascii="Garamond" w:hAnsi="Garamond"/>
          <w:color w:val="1B1B1B"/>
          <w:szCs w:val="24"/>
        </w:rPr>
        <w:t>Dyrektywy</w:t>
      </w:r>
      <w:r w:rsidRPr="007849E8">
        <w:rPr>
          <w:rFonts w:ascii="Garamond" w:hAnsi="Garamond"/>
          <w:color w:val="000000"/>
          <w:szCs w:val="24"/>
        </w:rPr>
        <w:t xml:space="preserve"> 2001/29/WE dotyczące wyjątków i ograniczeń praw autorskich i praw pokrewnych. Nie uzasadnia</w:t>
      </w:r>
      <w:r>
        <w:rPr>
          <w:rFonts w:ascii="Garamond" w:hAnsi="Garamond"/>
          <w:color w:val="000000"/>
          <w:szCs w:val="24"/>
        </w:rPr>
        <w:t xml:space="preserve">ją one natomiast takiego rozumienia art. 29 pr. aut., które zezwalałoby na </w:t>
      </w:r>
      <w:r w:rsidRPr="007849E8">
        <w:rPr>
          <w:rFonts w:ascii="Garamond" w:hAnsi="Garamond"/>
          <w:color w:val="000000"/>
          <w:szCs w:val="24"/>
        </w:rPr>
        <w:t xml:space="preserve">proste </w:t>
      </w:r>
      <w:r>
        <w:rPr>
          <w:rFonts w:ascii="Garamond" w:hAnsi="Garamond"/>
          <w:color w:val="000000"/>
          <w:szCs w:val="24"/>
        </w:rPr>
        <w:t>w</w:t>
      </w:r>
      <w:r w:rsidRPr="007849E8">
        <w:rPr>
          <w:rFonts w:ascii="Garamond" w:hAnsi="Garamond"/>
          <w:color w:val="000000"/>
          <w:szCs w:val="24"/>
        </w:rPr>
        <w:t>łączeni</w:t>
      </w:r>
      <w:r>
        <w:rPr>
          <w:rFonts w:ascii="Garamond" w:hAnsi="Garamond"/>
          <w:color w:val="000000"/>
          <w:szCs w:val="24"/>
        </w:rPr>
        <w:t>e</w:t>
      </w:r>
      <w:r w:rsidRPr="007849E8">
        <w:rPr>
          <w:rFonts w:ascii="Garamond" w:hAnsi="Garamond"/>
          <w:color w:val="000000"/>
          <w:szCs w:val="24"/>
        </w:rPr>
        <w:t xml:space="preserve"> utworów prasowych </w:t>
      </w:r>
      <w:r>
        <w:rPr>
          <w:rFonts w:ascii="Garamond" w:hAnsi="Garamond"/>
          <w:color w:val="000000"/>
          <w:szCs w:val="24"/>
        </w:rPr>
        <w:t>do</w:t>
      </w:r>
      <w:r w:rsidRPr="007849E8">
        <w:rPr>
          <w:rFonts w:ascii="Garamond" w:hAnsi="Garamond"/>
          <w:color w:val="000000"/>
          <w:szCs w:val="24"/>
        </w:rPr>
        <w:t xml:space="preserve"> przegląd</w:t>
      </w:r>
      <w:r>
        <w:rPr>
          <w:rFonts w:ascii="Garamond" w:hAnsi="Garamond"/>
          <w:color w:val="000000"/>
          <w:szCs w:val="24"/>
        </w:rPr>
        <w:t>ów</w:t>
      </w:r>
      <w:r w:rsidRPr="007849E8">
        <w:rPr>
          <w:rFonts w:ascii="Garamond" w:hAnsi="Garamond"/>
          <w:color w:val="000000"/>
          <w:szCs w:val="24"/>
        </w:rPr>
        <w:t xml:space="preserve"> prasy</w:t>
      </w:r>
      <w:r>
        <w:rPr>
          <w:rFonts w:ascii="Garamond" w:hAnsi="Garamond"/>
          <w:color w:val="000000"/>
          <w:szCs w:val="24"/>
        </w:rPr>
        <w:t>,</w:t>
      </w:r>
      <w:r w:rsidRPr="007849E8">
        <w:rPr>
          <w:rFonts w:ascii="Garamond" w:hAnsi="Garamond"/>
          <w:color w:val="000000"/>
          <w:szCs w:val="24"/>
        </w:rPr>
        <w:t xml:space="preserve"> pozbawione </w:t>
      </w:r>
      <w:r>
        <w:rPr>
          <w:rFonts w:ascii="Garamond" w:hAnsi="Garamond"/>
          <w:color w:val="000000"/>
          <w:szCs w:val="24"/>
        </w:rPr>
        <w:t xml:space="preserve">odpowiednio obszernych, </w:t>
      </w:r>
      <w:r w:rsidRPr="007849E8">
        <w:rPr>
          <w:rFonts w:ascii="Garamond" w:hAnsi="Garamond"/>
          <w:color w:val="000000"/>
          <w:szCs w:val="24"/>
        </w:rPr>
        <w:t>własnych komentarzy</w:t>
      </w:r>
      <w:r>
        <w:rPr>
          <w:rFonts w:ascii="Garamond" w:hAnsi="Garamond"/>
          <w:color w:val="000000"/>
          <w:szCs w:val="24"/>
        </w:rPr>
        <w:t xml:space="preserve"> Press Service.</w:t>
      </w:r>
    </w:p>
    <w:p w:rsidR="00E0352B" w:rsidRDefault="00E0352B" w:rsidP="00E0352B">
      <w:pPr>
        <w:spacing w:line="240" w:lineRule="auto"/>
        <w:jc w:val="left"/>
        <w:rPr>
          <w:rFonts w:ascii="Garamond" w:hAnsi="Garamond"/>
          <w:b/>
          <w:bCs/>
          <w:color w:val="000000"/>
          <w:szCs w:val="24"/>
        </w:rPr>
      </w:pPr>
    </w:p>
    <w:p w:rsidR="00E0352B" w:rsidRPr="00474068" w:rsidRDefault="00E0352B" w:rsidP="00E0352B">
      <w:pPr>
        <w:spacing w:line="240" w:lineRule="auto"/>
        <w:jc w:val="left"/>
        <w:rPr>
          <w:rFonts w:ascii="Garamond" w:hAnsi="Garamond"/>
          <w:color w:val="000000"/>
          <w:szCs w:val="24"/>
        </w:rPr>
      </w:pPr>
      <w:r w:rsidRPr="00176801">
        <w:rPr>
          <w:rFonts w:ascii="Garamond" w:hAnsi="Garamond"/>
          <w:b/>
          <w:bCs/>
          <w:color w:val="000000"/>
          <w:szCs w:val="24"/>
        </w:rPr>
        <w:t>[</w:t>
      </w:r>
      <w:r w:rsidRPr="00796BCF">
        <w:rPr>
          <w:rFonts w:ascii="Garamond" w:hAnsi="Garamond"/>
          <w:b/>
          <w:bCs/>
          <w:szCs w:val="24"/>
        </w:rPr>
        <w:t>Wyrok Sądu Najwyższego</w:t>
      </w:r>
      <w:r>
        <w:rPr>
          <w:rFonts w:ascii="Garamond" w:hAnsi="Garamond"/>
          <w:b/>
          <w:bCs/>
          <w:szCs w:val="24"/>
        </w:rPr>
        <w:t xml:space="preserve">: </w:t>
      </w:r>
      <w:r>
        <w:rPr>
          <w:rFonts w:ascii="Garamond" w:hAnsi="Garamond"/>
          <w:b/>
          <w:bCs/>
          <w:color w:val="000000"/>
          <w:szCs w:val="24"/>
        </w:rPr>
        <w:t>c</w:t>
      </w:r>
      <w:r w:rsidRPr="00176801">
        <w:rPr>
          <w:rFonts w:ascii="Garamond" w:hAnsi="Garamond"/>
          <w:b/>
          <w:bCs/>
          <w:color w:val="000000"/>
          <w:szCs w:val="24"/>
        </w:rPr>
        <w:t>ele dopuszczalnego cytowania]</w:t>
      </w:r>
    </w:p>
    <w:p w:rsidR="00E0352B" w:rsidRPr="00176801" w:rsidRDefault="00E0352B" w:rsidP="00E0352B">
      <w:pPr>
        <w:tabs>
          <w:tab w:val="left" w:pos="1868"/>
        </w:tabs>
        <w:rPr>
          <w:rFonts w:ascii="Garamond" w:hAnsi="Garamond"/>
          <w:b/>
          <w:bCs/>
          <w:color w:val="000000"/>
          <w:szCs w:val="24"/>
        </w:rPr>
      </w:pPr>
    </w:p>
    <w:p w:rsidR="00E0352B" w:rsidRPr="007849E8" w:rsidRDefault="00E0352B" w:rsidP="00E0352B">
      <w:pPr>
        <w:tabs>
          <w:tab w:val="left" w:pos="1868"/>
        </w:tabs>
        <w:ind w:firstLine="426"/>
        <w:rPr>
          <w:rFonts w:ascii="Garamond" w:hAnsi="Garamond"/>
          <w:color w:val="000000"/>
          <w:szCs w:val="24"/>
        </w:rPr>
      </w:pPr>
      <w:r w:rsidRPr="007849E8">
        <w:rPr>
          <w:rFonts w:ascii="Garamond" w:hAnsi="Garamond"/>
          <w:color w:val="000000"/>
          <w:szCs w:val="24"/>
        </w:rPr>
        <w:t>Zdaniem Sądu Najwyższego, aby Press Service mógł skutecznie powołać się na prawo cytatu przewidziane w art. 29 ust. 1 prawa autorskiego powinien wykazać, że jest to uzasadnione treścią jego własnych wypowiedzi, w których cytat został wykorzystany</w:t>
      </w:r>
      <w:r w:rsidRPr="007849E8">
        <w:rPr>
          <w:rFonts w:ascii="Garamond" w:hAnsi="Garamond"/>
          <w:szCs w:val="24"/>
        </w:rPr>
        <w:t xml:space="preserve"> „</w:t>
      </w:r>
      <w:r w:rsidRPr="007849E8">
        <w:rPr>
          <w:rFonts w:ascii="Garamond" w:hAnsi="Garamond"/>
          <w:color w:val="000000"/>
          <w:szCs w:val="24"/>
        </w:rPr>
        <w:t xml:space="preserve">w celu unaocznienia </w:t>
      </w:r>
      <w:r w:rsidRPr="007849E8">
        <w:rPr>
          <w:rFonts w:ascii="Garamond" w:hAnsi="Garamond"/>
          <w:color w:val="000000"/>
          <w:szCs w:val="24"/>
        </w:rPr>
        <w:lastRenderedPageBreak/>
        <w:t xml:space="preserve">recenzowanych wywodów lub zilustrowania krytykowanego poglądu”. Sąd podkreślił przy tym, że „Nie chodzi </w:t>
      </w:r>
      <w:r>
        <w:rPr>
          <w:rFonts w:ascii="Garamond" w:hAnsi="Garamond"/>
          <w:color w:val="000000"/>
          <w:szCs w:val="24"/>
        </w:rPr>
        <w:t xml:space="preserve">[…] </w:t>
      </w:r>
      <w:r w:rsidRPr="007849E8">
        <w:rPr>
          <w:rFonts w:ascii="Garamond" w:hAnsi="Garamond"/>
          <w:color w:val="000000"/>
          <w:szCs w:val="24"/>
        </w:rPr>
        <w:t>o proste włączenie cudzego utworu do własnego, lecz o uczynienie tego w sposób uzasadniony tokiem argumentacji i usprawiedliwioną potrzebą precyzyjnego przytoczenia cudzego spostrzeżenia czy tezy. Takie uzasadnienie wykorzystania cytatu musi wystąpić również w razie powołania się na prawa gatunku twórczości, także bowiem w tym wypadku cytat musi być umotywowany celem jaki pełni w świetle omawianych przepisów, to znaczy ma konfrontować własne stanowisko lub poglądy użytkownika korzystającego z cytatu z tymi, jakie przekazuje zacytowany utwór.”</w:t>
      </w:r>
    </w:p>
    <w:p w:rsidR="00E0352B" w:rsidRPr="007849E8" w:rsidRDefault="00E0352B" w:rsidP="00E0352B">
      <w:pPr>
        <w:tabs>
          <w:tab w:val="left" w:pos="1868"/>
        </w:tabs>
        <w:ind w:firstLine="426"/>
        <w:rPr>
          <w:rFonts w:ascii="Garamond" w:hAnsi="Garamond"/>
          <w:color w:val="000000"/>
          <w:szCs w:val="24"/>
        </w:rPr>
      </w:pPr>
      <w:r w:rsidRPr="007849E8">
        <w:rPr>
          <w:rFonts w:ascii="Garamond" w:hAnsi="Garamond"/>
          <w:szCs w:val="24"/>
        </w:rPr>
        <w:t xml:space="preserve">Jak </w:t>
      </w:r>
      <w:r w:rsidRPr="007849E8">
        <w:rPr>
          <w:rFonts w:ascii="Garamond" w:hAnsi="Garamond"/>
          <w:color w:val="000000"/>
          <w:szCs w:val="24"/>
        </w:rPr>
        <w:t>wynika</w:t>
      </w:r>
      <w:r w:rsidRPr="007849E8">
        <w:rPr>
          <w:rFonts w:ascii="Garamond" w:hAnsi="Garamond"/>
          <w:szCs w:val="24"/>
        </w:rPr>
        <w:t xml:space="preserve"> zatem z uzasadnienia wyroku Sądu Najwyższego nie można zakwalifikować działalności polegającej na tworzeniu i udostępnianiu przeglądów prasy przez Press Service jako korzystania z włączonych do nich artykułów prasowych jako dozwolonego użytku w formie </w:t>
      </w:r>
      <w:r>
        <w:rPr>
          <w:rFonts w:ascii="Garamond" w:hAnsi="Garamond"/>
          <w:szCs w:val="24"/>
        </w:rPr>
        <w:t xml:space="preserve">prawa </w:t>
      </w:r>
      <w:r w:rsidRPr="007849E8">
        <w:rPr>
          <w:rFonts w:ascii="Garamond" w:hAnsi="Garamond"/>
          <w:szCs w:val="24"/>
        </w:rPr>
        <w:t>cytatu. Cytat bowiem nie może być celem samym w sobie wykorzystania utworu</w:t>
      </w:r>
      <w:r>
        <w:rPr>
          <w:rFonts w:ascii="Garamond" w:hAnsi="Garamond"/>
          <w:szCs w:val="24"/>
        </w:rPr>
        <w:t>.</w:t>
      </w:r>
      <w:r w:rsidRPr="007849E8">
        <w:rPr>
          <w:rFonts w:ascii="Garamond" w:hAnsi="Garamond"/>
          <w:szCs w:val="24"/>
        </w:rPr>
        <w:t xml:space="preserve"> </w:t>
      </w:r>
      <w:r>
        <w:rPr>
          <w:rFonts w:ascii="Garamond" w:hAnsi="Garamond"/>
          <w:szCs w:val="24"/>
        </w:rPr>
        <w:t>S</w:t>
      </w:r>
      <w:r w:rsidRPr="007849E8">
        <w:rPr>
          <w:rFonts w:ascii="Garamond" w:hAnsi="Garamond"/>
          <w:szCs w:val="24"/>
        </w:rPr>
        <w:t xml:space="preserve">korzystanie z cudzych utworów na </w:t>
      </w:r>
      <w:r>
        <w:rPr>
          <w:rFonts w:ascii="Garamond" w:hAnsi="Garamond"/>
          <w:szCs w:val="24"/>
        </w:rPr>
        <w:t xml:space="preserve">tej </w:t>
      </w:r>
      <w:r w:rsidRPr="007849E8">
        <w:rPr>
          <w:rFonts w:ascii="Garamond" w:hAnsi="Garamond"/>
          <w:szCs w:val="24"/>
        </w:rPr>
        <w:t>zasadzie nie może prowadzić bowiem do powstania swego rodzaju zbioru utworów, w tym przypadk</w:t>
      </w:r>
      <w:r>
        <w:rPr>
          <w:rFonts w:ascii="Garamond" w:hAnsi="Garamond"/>
          <w:szCs w:val="24"/>
        </w:rPr>
        <w:t>u</w:t>
      </w:r>
      <w:r w:rsidRPr="007849E8">
        <w:rPr>
          <w:rFonts w:ascii="Garamond" w:hAnsi="Garamond"/>
          <w:szCs w:val="24"/>
        </w:rPr>
        <w:t xml:space="preserve"> zbiorów artykułów prasowych. Aby można uznać, że wykorzystanie utworów uzasadnione jest prawem cytatu musi istnieć</w:t>
      </w:r>
      <w:r w:rsidRPr="007849E8">
        <w:rPr>
          <w:rFonts w:ascii="Garamond" w:hAnsi="Garamond"/>
          <w:color w:val="000000"/>
          <w:szCs w:val="24"/>
        </w:rPr>
        <w:t xml:space="preserve"> bezpośredni i ścisły związek między cytowanym utworem </w:t>
      </w:r>
      <w:r>
        <w:rPr>
          <w:rFonts w:ascii="Garamond" w:hAnsi="Garamond"/>
          <w:color w:val="000000"/>
          <w:szCs w:val="24"/>
        </w:rPr>
        <w:t>a</w:t>
      </w:r>
      <w:r w:rsidRPr="007849E8">
        <w:rPr>
          <w:rFonts w:ascii="Garamond" w:hAnsi="Garamond"/>
          <w:color w:val="000000"/>
          <w:szCs w:val="24"/>
        </w:rPr>
        <w:t xml:space="preserve"> własnymi rozważaniami</w:t>
      </w:r>
      <w:r>
        <w:rPr>
          <w:rFonts w:ascii="Garamond" w:hAnsi="Garamond"/>
          <w:color w:val="000000"/>
          <w:szCs w:val="24"/>
        </w:rPr>
        <w:t xml:space="preserve"> tego, kto z cytatu korzysta. Jak podkreślił Sąd Najwyższy związek ten musi </w:t>
      </w:r>
      <w:r w:rsidRPr="007849E8">
        <w:rPr>
          <w:rFonts w:ascii="Garamond" w:hAnsi="Garamond"/>
          <w:color w:val="000000"/>
          <w:szCs w:val="24"/>
        </w:rPr>
        <w:t>umożliwia</w:t>
      </w:r>
      <w:r>
        <w:rPr>
          <w:rFonts w:ascii="Garamond" w:hAnsi="Garamond"/>
          <w:color w:val="000000"/>
          <w:szCs w:val="24"/>
        </w:rPr>
        <w:t>ć</w:t>
      </w:r>
      <w:r w:rsidRPr="007849E8">
        <w:rPr>
          <w:rFonts w:ascii="Garamond" w:hAnsi="Garamond"/>
          <w:color w:val="000000"/>
          <w:szCs w:val="24"/>
        </w:rPr>
        <w:t xml:space="preserve"> konfrontację intelektualną z utworem innej osoby. Brak jest tymczasem tego związku z przeglądach prasy</w:t>
      </w:r>
      <w:r>
        <w:rPr>
          <w:rFonts w:ascii="Garamond" w:hAnsi="Garamond"/>
          <w:color w:val="000000"/>
          <w:szCs w:val="24"/>
        </w:rPr>
        <w:t xml:space="preserve"> Press Service</w:t>
      </w:r>
      <w:r w:rsidRPr="007849E8">
        <w:rPr>
          <w:rFonts w:ascii="Garamond" w:hAnsi="Garamond"/>
          <w:color w:val="000000"/>
          <w:szCs w:val="24"/>
        </w:rPr>
        <w:t xml:space="preserve">, które były przedmiotem rozstrzygnięcia </w:t>
      </w:r>
      <w:r>
        <w:rPr>
          <w:rFonts w:ascii="Garamond" w:hAnsi="Garamond"/>
          <w:color w:val="000000"/>
          <w:szCs w:val="24"/>
        </w:rPr>
        <w:t>S</w:t>
      </w:r>
      <w:r w:rsidRPr="007849E8">
        <w:rPr>
          <w:rFonts w:ascii="Garamond" w:hAnsi="Garamond"/>
          <w:color w:val="000000"/>
          <w:szCs w:val="24"/>
        </w:rPr>
        <w:t>ądu.</w:t>
      </w:r>
    </w:p>
    <w:p w:rsidR="00E0352B" w:rsidRDefault="00E0352B" w:rsidP="00E0352B">
      <w:pPr>
        <w:tabs>
          <w:tab w:val="left" w:pos="1868"/>
        </w:tabs>
        <w:rPr>
          <w:rFonts w:ascii="Garamond" w:hAnsi="Garamond"/>
          <w:szCs w:val="24"/>
        </w:rPr>
      </w:pPr>
    </w:p>
    <w:p w:rsidR="00E0352B" w:rsidRPr="00176801" w:rsidRDefault="00E0352B" w:rsidP="00E0352B">
      <w:pPr>
        <w:tabs>
          <w:tab w:val="left" w:pos="426"/>
          <w:tab w:val="left" w:pos="1868"/>
        </w:tabs>
        <w:rPr>
          <w:rFonts w:ascii="Garamond" w:hAnsi="Garamond"/>
          <w:b/>
          <w:bCs/>
          <w:szCs w:val="24"/>
        </w:rPr>
      </w:pPr>
      <w:r w:rsidRPr="00176801">
        <w:rPr>
          <w:rFonts w:ascii="Garamond" w:hAnsi="Garamond"/>
          <w:b/>
          <w:bCs/>
          <w:szCs w:val="24"/>
        </w:rPr>
        <w:t>[</w:t>
      </w:r>
      <w:r w:rsidRPr="00796BCF">
        <w:rPr>
          <w:rFonts w:ascii="Garamond" w:hAnsi="Garamond"/>
          <w:b/>
          <w:bCs/>
          <w:szCs w:val="24"/>
        </w:rPr>
        <w:t>Wyrok Sądu Najwyższego</w:t>
      </w:r>
      <w:r>
        <w:rPr>
          <w:rFonts w:ascii="Garamond" w:hAnsi="Garamond"/>
          <w:b/>
          <w:bCs/>
          <w:szCs w:val="24"/>
        </w:rPr>
        <w:t>: działalność Press Service a naruszenie interesów wydawcy w świetle art. 35 pr. aut</w:t>
      </w:r>
      <w:r w:rsidRPr="00176801">
        <w:rPr>
          <w:rFonts w:ascii="Garamond" w:hAnsi="Garamond"/>
          <w:b/>
          <w:bCs/>
          <w:szCs w:val="24"/>
        </w:rPr>
        <w:t xml:space="preserve">] </w:t>
      </w:r>
    </w:p>
    <w:p w:rsidR="00E0352B" w:rsidRPr="007849E8" w:rsidRDefault="00E0352B" w:rsidP="00E0352B">
      <w:pPr>
        <w:tabs>
          <w:tab w:val="left" w:pos="1868"/>
        </w:tabs>
        <w:ind w:firstLine="426"/>
        <w:rPr>
          <w:rFonts w:ascii="Garamond" w:hAnsi="Garamond"/>
          <w:szCs w:val="24"/>
        </w:rPr>
      </w:pPr>
      <w:r w:rsidRPr="007849E8">
        <w:rPr>
          <w:rFonts w:ascii="Garamond" w:hAnsi="Garamond"/>
          <w:szCs w:val="24"/>
        </w:rPr>
        <w:t xml:space="preserve">Niezależnie od powyższego, Sąd Najwyższy uznał, że nawet gdyby przyjąć, że przeglądy prasy są samodzielnym gatunkiem twórczości uzasadniającym cytowanie, choć uznał to za dyskusyjne, to i tak korzystnie z utworów prasowych w sposób, w jaki czyni to Press Service naruszałoby interesy wydawcy, a tym samym nie spełniałoby kryteriów klauzuli generalnej art. 35 pr. aut. Klienci Press Service, którzy dzięki usługom przeglądów prasy uzyskują dostęp do poszczególnych, interesujących ich materiałów prasowych nie muszą już </w:t>
      </w:r>
      <w:r>
        <w:rPr>
          <w:rFonts w:ascii="Garamond" w:hAnsi="Garamond"/>
          <w:szCs w:val="24"/>
        </w:rPr>
        <w:t xml:space="preserve">bowiem </w:t>
      </w:r>
      <w:r w:rsidRPr="007849E8">
        <w:rPr>
          <w:rFonts w:ascii="Garamond" w:hAnsi="Garamond"/>
          <w:szCs w:val="24"/>
        </w:rPr>
        <w:t>nabywać egzemplarzy gazety lub uzyskiwać do niej dostępu online. Tym samym dostęp do tych</w:t>
      </w:r>
      <w:r>
        <w:rPr>
          <w:rFonts w:ascii="Garamond" w:hAnsi="Garamond"/>
          <w:szCs w:val="24"/>
        </w:rPr>
        <w:t xml:space="preserve"> materiałów prasowych</w:t>
      </w:r>
      <w:r w:rsidRPr="007849E8">
        <w:rPr>
          <w:rFonts w:ascii="Garamond" w:hAnsi="Garamond"/>
          <w:szCs w:val="24"/>
        </w:rPr>
        <w:t xml:space="preserve"> za pośrednictwem usług Press Service zastępuje dostęp prze</w:t>
      </w:r>
      <w:r>
        <w:rPr>
          <w:rFonts w:ascii="Garamond" w:hAnsi="Garamond"/>
          <w:szCs w:val="24"/>
        </w:rPr>
        <w:t>z</w:t>
      </w:r>
      <w:r w:rsidRPr="007849E8">
        <w:rPr>
          <w:rFonts w:ascii="Garamond" w:hAnsi="Garamond"/>
          <w:szCs w:val="24"/>
        </w:rPr>
        <w:t xml:space="preserve"> wydawców a to na podstawie art. 35 pr. aut. wyłącza możliwość skorzystania z jakiejkolwiek instytucji dozwolonego użytku</w:t>
      </w:r>
      <w:r>
        <w:rPr>
          <w:rFonts w:ascii="Garamond" w:hAnsi="Garamond"/>
          <w:szCs w:val="24"/>
        </w:rPr>
        <w:t>. Korzystanie z dozwolonego użytku nie może bowiem naruszać normalnego korzystania z utworów.</w:t>
      </w:r>
    </w:p>
    <w:p w:rsidR="00E0352B" w:rsidRPr="007849E8" w:rsidRDefault="00E0352B" w:rsidP="00E0352B">
      <w:pPr>
        <w:tabs>
          <w:tab w:val="left" w:pos="1868"/>
        </w:tabs>
        <w:ind w:firstLine="426"/>
        <w:rPr>
          <w:rFonts w:ascii="Garamond" w:hAnsi="Garamond"/>
          <w:szCs w:val="24"/>
        </w:rPr>
      </w:pPr>
      <w:r w:rsidRPr="007849E8">
        <w:rPr>
          <w:rFonts w:ascii="Garamond" w:hAnsi="Garamond"/>
          <w:szCs w:val="24"/>
        </w:rPr>
        <w:t>Jak wskazał Sąd Najwyższy „</w:t>
      </w:r>
      <w:r w:rsidRPr="007849E8">
        <w:rPr>
          <w:rFonts w:ascii="Garamond" w:hAnsi="Garamond"/>
          <w:color w:val="000000"/>
          <w:szCs w:val="24"/>
        </w:rPr>
        <w:t xml:space="preserve">Tak opisany gatunek w sposób oczywisty korzysta jednak z cytatu w sposób naruszający art. 35 </w:t>
      </w:r>
      <w:proofErr w:type="spellStart"/>
      <w:r w:rsidRPr="007849E8">
        <w:rPr>
          <w:rFonts w:ascii="Garamond" w:hAnsi="Garamond"/>
          <w:color w:val="000000"/>
          <w:szCs w:val="24"/>
        </w:rPr>
        <w:t>u.p.a.p.p</w:t>
      </w:r>
      <w:proofErr w:type="spellEnd"/>
      <w:r w:rsidRPr="007849E8">
        <w:rPr>
          <w:rFonts w:ascii="Garamond" w:hAnsi="Garamond"/>
          <w:color w:val="000000"/>
          <w:szCs w:val="24"/>
        </w:rPr>
        <w:t xml:space="preserve">. w zw. z </w:t>
      </w:r>
      <w:r w:rsidRPr="007849E8">
        <w:rPr>
          <w:rFonts w:ascii="Garamond" w:hAnsi="Garamond"/>
          <w:color w:val="1B1B1B"/>
          <w:szCs w:val="24"/>
        </w:rPr>
        <w:t>art. 5 ust. 3 lit. d</w:t>
      </w:r>
      <w:r w:rsidRPr="007849E8">
        <w:rPr>
          <w:rFonts w:ascii="Garamond" w:hAnsi="Garamond"/>
          <w:color w:val="000000"/>
          <w:szCs w:val="24"/>
        </w:rPr>
        <w:t xml:space="preserve"> i </w:t>
      </w:r>
      <w:r w:rsidRPr="007849E8">
        <w:rPr>
          <w:rFonts w:ascii="Garamond" w:hAnsi="Garamond"/>
          <w:color w:val="1B1B1B"/>
          <w:szCs w:val="24"/>
        </w:rPr>
        <w:t>ust. 5</w:t>
      </w:r>
      <w:r w:rsidRPr="007849E8">
        <w:rPr>
          <w:rFonts w:ascii="Garamond" w:hAnsi="Garamond"/>
          <w:color w:val="000000"/>
          <w:szCs w:val="24"/>
        </w:rPr>
        <w:t xml:space="preserve"> dyrektywy nr 2001/29. </w:t>
      </w:r>
      <w:r w:rsidRPr="007849E8">
        <w:rPr>
          <w:rFonts w:ascii="Garamond" w:hAnsi="Garamond"/>
          <w:color w:val="000000"/>
          <w:szCs w:val="24"/>
        </w:rPr>
        <w:lastRenderedPageBreak/>
        <w:t>Dostarczanie klientom elektronicznych kopii artykułów zaczerpniętych z papierowych wydań czasopism powoduje - na co słusznie zwraca uwagę skarżący - że odbiorcy tak przygotowanych przeglądów informacji medialnych nie są już zazwyczaj zainteresowani zakupem, ani abonowaniem (czy to w wersji tradycyjnej czy elektronicznej) źródłowego wydawnictwa, w którym dostarczone utwory zostały opublikowane, a tym samym zmniejsza się liczba czytelników kupujących gazety czy nabywających prawo elektronicznego dostępu do danego publikatora. Ten skutek ma wszystkie cechy naruszenia normalnego wykorzystania dzieła przez podmiot dysponujący majątkowymi prawami do niego, skoro inny podmiot wkracza w jego prawo do zwielokrotniania utworu, jego utrwalania oraz rozpowszechniania, a ponadto powoduje nieuzasadnioną szkodę majątkową w jego prawach w wyniku zmniejszonej sprzedaży.</w:t>
      </w:r>
      <w:r>
        <w:rPr>
          <w:rFonts w:ascii="Garamond" w:hAnsi="Garamond"/>
          <w:color w:val="000000"/>
          <w:szCs w:val="24"/>
        </w:rPr>
        <w:t>”</w:t>
      </w:r>
    </w:p>
    <w:p w:rsidR="00E0352B" w:rsidRDefault="00E0352B" w:rsidP="00E0352B">
      <w:pPr>
        <w:tabs>
          <w:tab w:val="left" w:pos="1868"/>
        </w:tabs>
        <w:rPr>
          <w:rFonts w:ascii="Garamond" w:hAnsi="Garamond"/>
          <w:szCs w:val="24"/>
        </w:rPr>
      </w:pPr>
    </w:p>
    <w:p w:rsidR="00E0352B" w:rsidRPr="00176801" w:rsidRDefault="00E0352B" w:rsidP="00E0352B">
      <w:pPr>
        <w:tabs>
          <w:tab w:val="left" w:pos="426"/>
          <w:tab w:val="left" w:pos="1868"/>
        </w:tabs>
        <w:rPr>
          <w:rFonts w:ascii="Garamond" w:hAnsi="Garamond"/>
          <w:b/>
          <w:bCs/>
          <w:szCs w:val="24"/>
        </w:rPr>
      </w:pPr>
      <w:r w:rsidRPr="00176801">
        <w:rPr>
          <w:rFonts w:ascii="Garamond" w:hAnsi="Garamond"/>
          <w:b/>
          <w:bCs/>
          <w:szCs w:val="24"/>
        </w:rPr>
        <w:t>[</w:t>
      </w:r>
      <w:r w:rsidRPr="00796BCF">
        <w:rPr>
          <w:rFonts w:ascii="Garamond" w:hAnsi="Garamond"/>
          <w:b/>
          <w:bCs/>
          <w:szCs w:val="24"/>
        </w:rPr>
        <w:t>Wyrok Sądu Najwyższego</w:t>
      </w:r>
      <w:r>
        <w:rPr>
          <w:rFonts w:ascii="Garamond" w:hAnsi="Garamond"/>
          <w:b/>
          <w:bCs/>
          <w:szCs w:val="24"/>
        </w:rPr>
        <w:t>: prawo cytatu nie może być rozumiane tak jak prawo przedruku prasowego</w:t>
      </w:r>
      <w:r w:rsidRPr="00176801">
        <w:rPr>
          <w:rFonts w:ascii="Garamond" w:hAnsi="Garamond"/>
          <w:b/>
          <w:bCs/>
          <w:szCs w:val="24"/>
        </w:rPr>
        <w:t xml:space="preserve">] </w:t>
      </w:r>
    </w:p>
    <w:p w:rsidR="00E0352B" w:rsidRPr="007849E8" w:rsidRDefault="00E0352B" w:rsidP="00E0352B">
      <w:pPr>
        <w:tabs>
          <w:tab w:val="left" w:pos="1868"/>
        </w:tabs>
        <w:rPr>
          <w:rFonts w:ascii="Garamond" w:hAnsi="Garamond"/>
          <w:szCs w:val="24"/>
        </w:rPr>
      </w:pPr>
    </w:p>
    <w:p w:rsidR="00E0352B" w:rsidRPr="007849E8" w:rsidRDefault="00E0352B" w:rsidP="00E0352B">
      <w:pPr>
        <w:tabs>
          <w:tab w:val="left" w:pos="1868"/>
        </w:tabs>
        <w:ind w:firstLine="426"/>
        <w:rPr>
          <w:rFonts w:ascii="Garamond" w:hAnsi="Garamond"/>
          <w:szCs w:val="24"/>
        </w:rPr>
      </w:pPr>
      <w:r w:rsidRPr="007849E8">
        <w:rPr>
          <w:rFonts w:ascii="Garamond" w:hAnsi="Garamond"/>
          <w:szCs w:val="24"/>
        </w:rPr>
        <w:t>Sąd Najwyższy zaznaczył także, że gdyby zaakceptować błędne rozumienie prawa cytatu jakie prezent</w:t>
      </w:r>
      <w:r>
        <w:rPr>
          <w:rFonts w:ascii="Garamond" w:hAnsi="Garamond"/>
          <w:szCs w:val="24"/>
        </w:rPr>
        <w:t>owała</w:t>
      </w:r>
      <w:r w:rsidRPr="007849E8">
        <w:rPr>
          <w:rFonts w:ascii="Garamond" w:hAnsi="Garamond"/>
          <w:szCs w:val="24"/>
        </w:rPr>
        <w:t xml:space="preserve"> Press Service, byłoby ono w istocie powieleniem </w:t>
      </w:r>
      <w:r>
        <w:rPr>
          <w:rFonts w:ascii="Garamond" w:hAnsi="Garamond"/>
          <w:szCs w:val="24"/>
        </w:rPr>
        <w:t xml:space="preserve">tzw. </w:t>
      </w:r>
      <w:r w:rsidRPr="007849E8">
        <w:rPr>
          <w:rFonts w:ascii="Garamond" w:hAnsi="Garamond"/>
          <w:szCs w:val="24"/>
        </w:rPr>
        <w:t xml:space="preserve">prawa przedruku – odrębnej instytucji dozwolonego użytku z art. </w:t>
      </w:r>
      <w:r w:rsidRPr="007849E8">
        <w:rPr>
          <w:rFonts w:ascii="Garamond" w:hAnsi="Garamond"/>
          <w:color w:val="000000"/>
          <w:szCs w:val="24"/>
        </w:rPr>
        <w:t xml:space="preserve">art. 25 ust. 1 pkt 1 lit. b i c </w:t>
      </w:r>
      <w:r w:rsidRPr="007849E8">
        <w:rPr>
          <w:rFonts w:ascii="Garamond" w:hAnsi="Garamond"/>
          <w:szCs w:val="24"/>
        </w:rPr>
        <w:t xml:space="preserve">pr. aut., która służy </w:t>
      </w:r>
      <w:r>
        <w:rPr>
          <w:rFonts w:ascii="Garamond" w:hAnsi="Garamond"/>
          <w:szCs w:val="24"/>
        </w:rPr>
        <w:t xml:space="preserve">zupełnie </w:t>
      </w:r>
      <w:r w:rsidRPr="007849E8">
        <w:rPr>
          <w:rFonts w:ascii="Garamond" w:hAnsi="Garamond"/>
          <w:szCs w:val="24"/>
        </w:rPr>
        <w:t>innym celom</w:t>
      </w:r>
      <w:r>
        <w:rPr>
          <w:rFonts w:ascii="Garamond" w:hAnsi="Garamond"/>
          <w:szCs w:val="24"/>
        </w:rPr>
        <w:t xml:space="preserve"> niż </w:t>
      </w:r>
      <w:proofErr w:type="spellStart"/>
      <w:r w:rsidRPr="004D772E">
        <w:rPr>
          <w:rFonts w:ascii="Garamond" w:hAnsi="Garamond"/>
          <w:i/>
          <w:iCs/>
          <w:szCs w:val="24"/>
        </w:rPr>
        <w:t>press</w:t>
      </w:r>
      <w:proofErr w:type="spellEnd"/>
      <w:r w:rsidRPr="004D772E">
        <w:rPr>
          <w:rFonts w:ascii="Garamond" w:hAnsi="Garamond"/>
          <w:i/>
          <w:iCs/>
          <w:szCs w:val="24"/>
        </w:rPr>
        <w:t xml:space="preserve"> </w:t>
      </w:r>
      <w:proofErr w:type="spellStart"/>
      <w:r w:rsidRPr="004D772E">
        <w:rPr>
          <w:rFonts w:ascii="Garamond" w:hAnsi="Garamond"/>
          <w:i/>
          <w:iCs/>
          <w:szCs w:val="24"/>
        </w:rPr>
        <w:t>clipping</w:t>
      </w:r>
      <w:proofErr w:type="spellEnd"/>
      <w:r w:rsidRPr="007849E8">
        <w:rPr>
          <w:rFonts w:ascii="Garamond" w:hAnsi="Garamond"/>
          <w:szCs w:val="24"/>
        </w:rPr>
        <w:t>, może być wykorzystywana jedynie przez prasę, radio i telewizję i jest dozwolonym użytkiem odpłatnym.</w:t>
      </w:r>
    </w:p>
    <w:p w:rsidR="00E0352B" w:rsidRPr="00474068" w:rsidRDefault="00E0352B" w:rsidP="00E0352B">
      <w:pPr>
        <w:tabs>
          <w:tab w:val="left" w:pos="426"/>
          <w:tab w:val="left" w:pos="1868"/>
        </w:tabs>
        <w:rPr>
          <w:rFonts w:ascii="Garamond" w:hAnsi="Garamond"/>
          <w:b/>
          <w:bCs/>
          <w:szCs w:val="24"/>
        </w:rPr>
      </w:pPr>
      <w:r w:rsidRPr="00176801">
        <w:rPr>
          <w:rFonts w:ascii="Garamond" w:hAnsi="Garamond"/>
          <w:b/>
          <w:bCs/>
          <w:szCs w:val="24"/>
        </w:rPr>
        <w:t>[</w:t>
      </w:r>
      <w:r w:rsidRPr="00796BCF">
        <w:rPr>
          <w:rFonts w:ascii="Garamond" w:hAnsi="Garamond"/>
          <w:b/>
          <w:bCs/>
          <w:szCs w:val="24"/>
        </w:rPr>
        <w:t>Wyrok Sądu Najwyższego</w:t>
      </w:r>
      <w:r>
        <w:rPr>
          <w:rFonts w:ascii="Garamond" w:hAnsi="Garamond"/>
          <w:b/>
          <w:bCs/>
          <w:szCs w:val="24"/>
        </w:rPr>
        <w:t>: tabele wynagrodzeń SDiW REPROPOL jako argument na korzyść wydawcy</w:t>
      </w:r>
      <w:r w:rsidRPr="00176801">
        <w:rPr>
          <w:rFonts w:ascii="Garamond" w:hAnsi="Garamond"/>
          <w:b/>
          <w:bCs/>
          <w:szCs w:val="24"/>
        </w:rPr>
        <w:t xml:space="preserve">] </w:t>
      </w:r>
    </w:p>
    <w:p w:rsidR="00E0352B" w:rsidRPr="007849E8" w:rsidRDefault="00E0352B" w:rsidP="00E0352B">
      <w:pPr>
        <w:tabs>
          <w:tab w:val="left" w:pos="1868"/>
        </w:tabs>
        <w:ind w:firstLine="426"/>
        <w:rPr>
          <w:rFonts w:ascii="Garamond" w:hAnsi="Garamond"/>
          <w:szCs w:val="24"/>
        </w:rPr>
      </w:pPr>
    </w:p>
    <w:p w:rsidR="00E0352B" w:rsidRPr="00756B31" w:rsidRDefault="00E0352B" w:rsidP="00E0352B">
      <w:pPr>
        <w:tabs>
          <w:tab w:val="left" w:pos="1868"/>
        </w:tabs>
        <w:ind w:firstLine="426"/>
        <w:rPr>
          <w:rFonts w:ascii="Garamond" w:hAnsi="Garamond"/>
          <w:color w:val="000000"/>
          <w:szCs w:val="24"/>
        </w:rPr>
      </w:pPr>
      <w:r w:rsidRPr="007849E8">
        <w:rPr>
          <w:rFonts w:ascii="Garamond" w:hAnsi="Garamond"/>
          <w:szCs w:val="24"/>
        </w:rPr>
        <w:t xml:space="preserve">Warto także wspomnieć, że uzasadniając orzeczenie na korzyść wydawcy – </w:t>
      </w:r>
      <w:proofErr w:type="spellStart"/>
      <w:r w:rsidRPr="007849E8">
        <w:rPr>
          <w:rFonts w:ascii="Garamond" w:hAnsi="Garamond"/>
          <w:szCs w:val="24"/>
        </w:rPr>
        <w:t>Infor</w:t>
      </w:r>
      <w:proofErr w:type="spellEnd"/>
      <w:r w:rsidRPr="007849E8">
        <w:rPr>
          <w:rFonts w:ascii="Garamond" w:hAnsi="Garamond"/>
          <w:szCs w:val="24"/>
        </w:rPr>
        <w:t xml:space="preserve"> Biznes, Sąd Najwyższy odwołał się do tabel wynagrodzeń Stowarzyszenia Dziennikarzy i Wydawców REPROPOL (dawniej</w:t>
      </w:r>
      <w:r>
        <w:rPr>
          <w:rFonts w:ascii="Garamond" w:hAnsi="Garamond"/>
          <w:szCs w:val="24"/>
        </w:rPr>
        <w:t>:</w:t>
      </w:r>
      <w:r w:rsidRPr="007849E8">
        <w:rPr>
          <w:rFonts w:ascii="Garamond" w:hAnsi="Garamond"/>
          <w:szCs w:val="24"/>
        </w:rPr>
        <w:t xml:space="preserve"> Stowarzyszenie Wydawców REPROPOL), które zostały zatwierdzone częściowo przez Komisję Prawa Autorskiego w 2013 r. </w:t>
      </w:r>
      <w:r>
        <w:rPr>
          <w:rFonts w:ascii="Garamond" w:hAnsi="Garamond"/>
          <w:szCs w:val="24"/>
        </w:rPr>
        <w:t>a</w:t>
      </w:r>
      <w:r w:rsidRPr="007849E8">
        <w:rPr>
          <w:rFonts w:ascii="Garamond" w:hAnsi="Garamond"/>
          <w:szCs w:val="24"/>
        </w:rPr>
        <w:t xml:space="preserve"> które przewidywały wynagrodzeni</w:t>
      </w:r>
      <w:r>
        <w:rPr>
          <w:rFonts w:ascii="Garamond" w:hAnsi="Garamond"/>
          <w:szCs w:val="24"/>
        </w:rPr>
        <w:t>e</w:t>
      </w:r>
      <w:r w:rsidRPr="007849E8">
        <w:rPr>
          <w:rFonts w:ascii="Garamond" w:hAnsi="Garamond"/>
          <w:szCs w:val="24"/>
        </w:rPr>
        <w:t xml:space="preserve"> za eksplo</w:t>
      </w:r>
      <w:r>
        <w:rPr>
          <w:rFonts w:ascii="Garamond" w:hAnsi="Garamond"/>
          <w:szCs w:val="24"/>
        </w:rPr>
        <w:t>a</w:t>
      </w:r>
      <w:r w:rsidRPr="007849E8">
        <w:rPr>
          <w:rFonts w:ascii="Garamond" w:hAnsi="Garamond"/>
          <w:szCs w:val="24"/>
        </w:rPr>
        <w:t>tację utworów w związku z</w:t>
      </w:r>
      <w:r w:rsidRPr="007849E8">
        <w:rPr>
          <w:rFonts w:ascii="Garamond" w:hAnsi="Garamond"/>
          <w:color w:val="000000"/>
          <w:szCs w:val="24"/>
        </w:rPr>
        <w:t xml:space="preserve"> usługami monitorowania mediów</w:t>
      </w:r>
      <w:r w:rsidRPr="007849E8">
        <w:rPr>
          <w:rFonts w:ascii="Garamond" w:hAnsi="Garamond"/>
          <w:szCs w:val="24"/>
        </w:rPr>
        <w:t>. Jak wskazał Sąd, co prawda „</w:t>
      </w:r>
      <w:r>
        <w:rPr>
          <w:rFonts w:ascii="Garamond" w:hAnsi="Garamond"/>
          <w:color w:val="000000"/>
          <w:szCs w:val="24"/>
        </w:rPr>
        <w:t>z</w:t>
      </w:r>
      <w:r w:rsidRPr="007849E8">
        <w:rPr>
          <w:rFonts w:ascii="Garamond" w:hAnsi="Garamond"/>
          <w:color w:val="000000"/>
          <w:szCs w:val="24"/>
        </w:rPr>
        <w:t>atwierdzone tabele nie stanowią źródła prawa, jednak ich przyjęcie, przez Komisję Prawa Autorskiego wyraża stanowisko tego organu wyrażone w zakresie jego ustawowych obowiązków i wskazuje na ukształtowanie odpłatnego charakteru licencji na specyficzne korzystanie z wydawnictw prasowych przez podmioty zajmujące się monitoringiem mediów.”</w:t>
      </w:r>
    </w:p>
    <w:p w:rsidR="00E0352B" w:rsidRPr="007849E8" w:rsidRDefault="00E0352B" w:rsidP="00E0352B">
      <w:pPr>
        <w:tabs>
          <w:tab w:val="left" w:pos="1868"/>
        </w:tabs>
        <w:ind w:firstLine="426"/>
        <w:rPr>
          <w:rFonts w:ascii="Garamond" w:hAnsi="Garamond"/>
          <w:szCs w:val="24"/>
        </w:rPr>
      </w:pPr>
      <w:r w:rsidRPr="007849E8">
        <w:rPr>
          <w:rFonts w:ascii="Garamond" w:hAnsi="Garamond"/>
          <w:szCs w:val="24"/>
        </w:rPr>
        <w:t>Tym samym</w:t>
      </w:r>
      <w:r>
        <w:rPr>
          <w:rFonts w:ascii="Garamond" w:hAnsi="Garamond"/>
          <w:szCs w:val="24"/>
        </w:rPr>
        <w:t xml:space="preserve">, </w:t>
      </w:r>
      <w:r w:rsidRPr="007849E8">
        <w:rPr>
          <w:rFonts w:ascii="Garamond" w:hAnsi="Garamond"/>
          <w:szCs w:val="24"/>
        </w:rPr>
        <w:t>mimo że sprawa formalnie jeszcze się nie zakończyła</w:t>
      </w:r>
      <w:r>
        <w:rPr>
          <w:rFonts w:ascii="Garamond" w:hAnsi="Garamond"/>
          <w:szCs w:val="24"/>
        </w:rPr>
        <w:t xml:space="preserve">, </w:t>
      </w:r>
      <w:r w:rsidRPr="007849E8">
        <w:rPr>
          <w:rFonts w:ascii="Garamond" w:hAnsi="Garamond"/>
          <w:szCs w:val="24"/>
        </w:rPr>
        <w:t>Sąd Najwyższy definitywnie przesądził, że Press Service w ramach swojej działalności monitorowania mediów nie może powoływać się na prawo cytatu, a tym samum uznał za bezzasadn</w:t>
      </w:r>
      <w:r>
        <w:rPr>
          <w:rFonts w:ascii="Garamond" w:hAnsi="Garamond"/>
          <w:szCs w:val="24"/>
        </w:rPr>
        <w:t xml:space="preserve">y </w:t>
      </w:r>
      <w:r w:rsidRPr="007849E8">
        <w:rPr>
          <w:rFonts w:ascii="Garamond" w:hAnsi="Garamond"/>
          <w:szCs w:val="24"/>
        </w:rPr>
        <w:t xml:space="preserve">ostatni argument tej </w:t>
      </w:r>
      <w:r w:rsidRPr="007849E8">
        <w:rPr>
          <w:rFonts w:ascii="Garamond" w:hAnsi="Garamond"/>
          <w:szCs w:val="24"/>
        </w:rPr>
        <w:lastRenderedPageBreak/>
        <w:t xml:space="preserve">spółki za możliwością korzystania </w:t>
      </w:r>
      <w:r>
        <w:rPr>
          <w:rFonts w:ascii="Garamond" w:hAnsi="Garamond"/>
          <w:szCs w:val="24"/>
        </w:rPr>
        <w:t xml:space="preserve">przez nią z utworów prasowych </w:t>
      </w:r>
      <w:r w:rsidRPr="007849E8">
        <w:rPr>
          <w:rFonts w:ascii="Garamond" w:hAnsi="Garamond"/>
          <w:szCs w:val="24"/>
        </w:rPr>
        <w:t>bez uzyskiwania zezwolenia (licencji) od wydawcy.</w:t>
      </w:r>
    </w:p>
    <w:p w:rsidR="00E0352B" w:rsidRPr="007849E8" w:rsidRDefault="00E0352B" w:rsidP="00E0352B">
      <w:pPr>
        <w:tabs>
          <w:tab w:val="left" w:pos="1868"/>
        </w:tabs>
        <w:rPr>
          <w:rFonts w:ascii="Garamond" w:hAnsi="Garamond"/>
          <w:szCs w:val="24"/>
        </w:rPr>
      </w:pPr>
    </w:p>
    <w:p w:rsidR="00E0352B" w:rsidRPr="00474068" w:rsidRDefault="00E0352B" w:rsidP="00E0352B">
      <w:pPr>
        <w:tabs>
          <w:tab w:val="left" w:pos="426"/>
          <w:tab w:val="left" w:pos="1868"/>
        </w:tabs>
        <w:rPr>
          <w:rFonts w:ascii="Garamond" w:hAnsi="Garamond"/>
          <w:b/>
          <w:bCs/>
          <w:szCs w:val="24"/>
        </w:rPr>
      </w:pPr>
      <w:r w:rsidRPr="00176801">
        <w:rPr>
          <w:rFonts w:ascii="Garamond" w:hAnsi="Garamond"/>
          <w:b/>
          <w:bCs/>
          <w:szCs w:val="24"/>
        </w:rPr>
        <w:t>[</w:t>
      </w:r>
      <w:r>
        <w:rPr>
          <w:rFonts w:ascii="Garamond" w:hAnsi="Garamond"/>
          <w:b/>
          <w:bCs/>
          <w:szCs w:val="24"/>
        </w:rPr>
        <w:t>Wyłączenie pozostałych instytucji dozwolonego użytku</w:t>
      </w:r>
      <w:r w:rsidRPr="00176801">
        <w:rPr>
          <w:rFonts w:ascii="Garamond" w:hAnsi="Garamond"/>
          <w:b/>
          <w:bCs/>
          <w:szCs w:val="24"/>
        </w:rPr>
        <w:t xml:space="preserve">] </w:t>
      </w:r>
    </w:p>
    <w:p w:rsidR="00E0352B" w:rsidRDefault="00E0352B" w:rsidP="00E0352B">
      <w:pPr>
        <w:tabs>
          <w:tab w:val="left" w:pos="426"/>
        </w:tabs>
        <w:rPr>
          <w:rFonts w:ascii="Garamond" w:hAnsi="Garamond"/>
          <w:szCs w:val="24"/>
        </w:rPr>
      </w:pPr>
    </w:p>
    <w:p w:rsidR="00E0352B" w:rsidRDefault="00E0352B" w:rsidP="00E0352B">
      <w:pPr>
        <w:tabs>
          <w:tab w:val="left" w:pos="426"/>
        </w:tabs>
        <w:rPr>
          <w:rFonts w:ascii="Garamond" w:eastAsia="Calibri" w:hAnsi="Garamond" w:cs="Helvetica"/>
          <w:szCs w:val="24"/>
          <w:lang w:eastAsia="pl-PL"/>
        </w:rPr>
      </w:pPr>
      <w:r>
        <w:rPr>
          <w:rFonts w:ascii="Garamond" w:hAnsi="Garamond"/>
          <w:szCs w:val="24"/>
        </w:rPr>
        <w:tab/>
      </w:r>
      <w:r w:rsidRPr="007849E8">
        <w:rPr>
          <w:rFonts w:ascii="Garamond" w:hAnsi="Garamond"/>
          <w:szCs w:val="24"/>
        </w:rPr>
        <w:t xml:space="preserve">Press Service bezzasadnie powoływała się </w:t>
      </w:r>
      <w:r>
        <w:rPr>
          <w:rFonts w:ascii="Garamond" w:hAnsi="Garamond"/>
          <w:szCs w:val="24"/>
        </w:rPr>
        <w:t xml:space="preserve">wcześniej </w:t>
      </w:r>
      <w:r w:rsidRPr="007849E8">
        <w:rPr>
          <w:rFonts w:ascii="Garamond" w:hAnsi="Garamond"/>
          <w:szCs w:val="24"/>
        </w:rPr>
        <w:t xml:space="preserve">na inne instytucje dozwolonego użytku i w tym zakresie kwestia ta już także została ostatecznie przesądzona. </w:t>
      </w:r>
      <w:r>
        <w:rPr>
          <w:rFonts w:ascii="Garamond" w:hAnsi="Garamond"/>
          <w:szCs w:val="24"/>
        </w:rPr>
        <w:t>D</w:t>
      </w:r>
      <w:r w:rsidRPr="007849E8">
        <w:rPr>
          <w:rFonts w:ascii="Garamond" w:hAnsi="Garamond"/>
          <w:szCs w:val="24"/>
        </w:rPr>
        <w:t>ziałalnoś</w:t>
      </w:r>
      <w:r>
        <w:rPr>
          <w:rFonts w:ascii="Garamond" w:hAnsi="Garamond"/>
          <w:szCs w:val="24"/>
        </w:rPr>
        <w:t>ć</w:t>
      </w:r>
      <w:r w:rsidRPr="007849E8">
        <w:rPr>
          <w:rFonts w:ascii="Garamond" w:hAnsi="Garamond"/>
          <w:szCs w:val="24"/>
        </w:rPr>
        <w:t xml:space="preserve"> Press Service polegająca na świadczeniu usług monitorowania mediów (przeglądów prasy) </w:t>
      </w:r>
      <w:r>
        <w:rPr>
          <w:rFonts w:ascii="Garamond" w:hAnsi="Garamond"/>
          <w:szCs w:val="24"/>
        </w:rPr>
        <w:t xml:space="preserve">zgodnie z orzeczeniami Sądów </w:t>
      </w:r>
      <w:r w:rsidRPr="007849E8">
        <w:rPr>
          <w:rFonts w:ascii="Garamond" w:hAnsi="Garamond"/>
          <w:szCs w:val="24"/>
        </w:rPr>
        <w:t>nie mieści</w:t>
      </w:r>
      <w:r>
        <w:rPr>
          <w:rFonts w:ascii="Garamond" w:hAnsi="Garamond"/>
          <w:szCs w:val="24"/>
        </w:rPr>
        <w:t xml:space="preserve"> </w:t>
      </w:r>
      <w:r w:rsidRPr="007849E8">
        <w:rPr>
          <w:rFonts w:ascii="Garamond" w:hAnsi="Garamond"/>
          <w:szCs w:val="24"/>
        </w:rPr>
        <w:t xml:space="preserve">się </w:t>
      </w:r>
      <w:r w:rsidRPr="007849E8">
        <w:rPr>
          <w:rFonts w:ascii="Garamond" w:eastAsia="Calibri" w:hAnsi="Garamond" w:cs="Helvetica"/>
          <w:szCs w:val="24"/>
          <w:lang w:eastAsia="pl-PL"/>
        </w:rPr>
        <w:t>w ramach dozwolonego użytku bibliotecznego (art. 28 pr. aut.), zwielokrotnień incydentalnych (art. 23</w:t>
      </w:r>
      <w:r w:rsidRPr="007849E8">
        <w:rPr>
          <w:rFonts w:ascii="Garamond" w:eastAsia="Calibri" w:hAnsi="Garamond" w:cs="Helvetica"/>
          <w:szCs w:val="24"/>
          <w:vertAlign w:val="superscript"/>
          <w:lang w:eastAsia="pl-PL"/>
        </w:rPr>
        <w:t>1</w:t>
      </w:r>
      <w:r w:rsidRPr="007849E8">
        <w:rPr>
          <w:rFonts w:ascii="Garamond" w:eastAsia="Calibri" w:hAnsi="Garamond" w:cs="Helvetica"/>
          <w:szCs w:val="24"/>
          <w:lang w:eastAsia="pl-PL"/>
        </w:rPr>
        <w:t xml:space="preserve"> pr. aut.) oraz dozwolonego użytku dla ośrodków dokumentacji i informacji (uchylony od 20 listopada 2015 r. art. 30 pr. aut.).</w:t>
      </w:r>
    </w:p>
    <w:p w:rsidR="00E0352B" w:rsidRDefault="00E0352B" w:rsidP="00E0352B">
      <w:pPr>
        <w:tabs>
          <w:tab w:val="left" w:pos="426"/>
        </w:tabs>
        <w:rPr>
          <w:rFonts w:ascii="Garamond" w:hAnsi="Garamond"/>
          <w:szCs w:val="24"/>
        </w:rPr>
      </w:pPr>
    </w:p>
    <w:p w:rsidR="00E0352B" w:rsidRPr="00474068" w:rsidRDefault="00E0352B" w:rsidP="00E0352B">
      <w:pPr>
        <w:tabs>
          <w:tab w:val="left" w:pos="426"/>
          <w:tab w:val="left" w:pos="1868"/>
        </w:tabs>
        <w:rPr>
          <w:rFonts w:ascii="Garamond" w:hAnsi="Garamond"/>
          <w:b/>
          <w:bCs/>
          <w:szCs w:val="24"/>
        </w:rPr>
      </w:pPr>
      <w:r w:rsidRPr="00176801">
        <w:rPr>
          <w:rFonts w:ascii="Garamond" w:hAnsi="Garamond"/>
          <w:b/>
          <w:bCs/>
          <w:szCs w:val="24"/>
        </w:rPr>
        <w:t>[</w:t>
      </w:r>
      <w:r>
        <w:rPr>
          <w:rFonts w:ascii="Garamond" w:hAnsi="Garamond"/>
          <w:b/>
          <w:bCs/>
          <w:szCs w:val="24"/>
        </w:rPr>
        <w:t>Odrzucona przez sądy argumentacja Press Service o braku ochrony prawem autorskim</w:t>
      </w:r>
      <w:r w:rsidRPr="00176801">
        <w:rPr>
          <w:rFonts w:ascii="Garamond" w:hAnsi="Garamond"/>
          <w:b/>
          <w:bCs/>
          <w:szCs w:val="24"/>
        </w:rPr>
        <w:t xml:space="preserve">] </w:t>
      </w:r>
    </w:p>
    <w:p w:rsidR="00E0352B" w:rsidRDefault="00E0352B" w:rsidP="00E0352B">
      <w:pPr>
        <w:tabs>
          <w:tab w:val="left" w:pos="426"/>
        </w:tabs>
        <w:rPr>
          <w:rFonts w:ascii="Garamond" w:hAnsi="Garamond"/>
          <w:szCs w:val="24"/>
        </w:rPr>
      </w:pPr>
    </w:p>
    <w:p w:rsidR="00E0352B" w:rsidRPr="004D772E" w:rsidRDefault="00E0352B" w:rsidP="00E0352B">
      <w:pPr>
        <w:tabs>
          <w:tab w:val="left" w:pos="426"/>
        </w:tabs>
        <w:rPr>
          <w:rFonts w:ascii="Garamond" w:eastAsia="Calibri" w:hAnsi="Garamond" w:cs="Helvetica"/>
          <w:szCs w:val="24"/>
          <w:lang w:eastAsia="pl-PL"/>
        </w:rPr>
      </w:pPr>
      <w:r>
        <w:rPr>
          <w:rFonts w:ascii="Garamond" w:hAnsi="Garamond"/>
          <w:szCs w:val="24"/>
        </w:rPr>
        <w:tab/>
      </w:r>
      <w:r w:rsidRPr="007849E8">
        <w:rPr>
          <w:rFonts w:ascii="Garamond" w:hAnsi="Garamond"/>
          <w:szCs w:val="24"/>
        </w:rPr>
        <w:t xml:space="preserve">Warto także </w:t>
      </w:r>
      <w:r>
        <w:rPr>
          <w:rFonts w:ascii="Garamond" w:hAnsi="Garamond"/>
          <w:szCs w:val="24"/>
        </w:rPr>
        <w:t>wspomnieć</w:t>
      </w:r>
      <w:r w:rsidRPr="007849E8">
        <w:rPr>
          <w:rFonts w:ascii="Garamond" w:hAnsi="Garamond"/>
          <w:szCs w:val="24"/>
        </w:rPr>
        <w:t xml:space="preserve">, że broniąc swojego stanowiska w toku postępowania Press Service </w:t>
      </w:r>
      <w:r w:rsidRPr="007849E8">
        <w:rPr>
          <w:rFonts w:ascii="Garamond" w:eastAsia="Times New Roman" w:hAnsi="Garamond" w:cs="Arial"/>
          <w:color w:val="000000" w:themeColor="text1"/>
          <w:szCs w:val="24"/>
          <w:shd w:val="clear" w:color="auto" w:fill="FFFFFF"/>
          <w:lang w:eastAsia="pl-PL"/>
        </w:rPr>
        <w:t xml:space="preserve">argumentowała także, że sporne artykuły wydawcy „DGP” nie są utworami w rozumieniu prawa autorskiego, a przedmiotem procesu jest </w:t>
      </w:r>
      <w:r>
        <w:rPr>
          <w:rFonts w:ascii="Garamond" w:eastAsia="Times New Roman" w:hAnsi="Garamond" w:cs="Arial"/>
          <w:color w:val="000000" w:themeColor="text1"/>
          <w:szCs w:val="24"/>
          <w:shd w:val="clear" w:color="auto" w:fill="FFFFFF"/>
          <w:lang w:eastAsia="pl-PL"/>
        </w:rPr>
        <w:t xml:space="preserve">rzekomo </w:t>
      </w:r>
      <w:r w:rsidRPr="007849E8">
        <w:rPr>
          <w:rFonts w:ascii="Garamond" w:eastAsia="Times New Roman" w:hAnsi="Garamond" w:cs="Arial"/>
          <w:color w:val="000000" w:themeColor="text1"/>
          <w:szCs w:val="24"/>
          <w:shd w:val="clear" w:color="auto" w:fill="FFFFFF"/>
          <w:lang w:eastAsia="pl-PL"/>
        </w:rPr>
        <w:t xml:space="preserve">jedynie czysta informacja dziennikarska, niepodlegająca ochronie. </w:t>
      </w:r>
      <w:r>
        <w:rPr>
          <w:rFonts w:ascii="Garamond" w:eastAsia="Times New Roman" w:hAnsi="Garamond" w:cs="Arial"/>
          <w:color w:val="000000" w:themeColor="text1"/>
          <w:szCs w:val="24"/>
          <w:shd w:val="clear" w:color="auto" w:fill="FFFFFF"/>
          <w:lang w:eastAsia="pl-PL"/>
        </w:rPr>
        <w:t>N</w:t>
      </w:r>
      <w:r w:rsidRPr="007849E8">
        <w:rPr>
          <w:rFonts w:ascii="Garamond" w:eastAsia="Times New Roman" w:hAnsi="Garamond" w:cs="Arial"/>
          <w:color w:val="000000" w:themeColor="text1"/>
          <w:szCs w:val="24"/>
          <w:shd w:val="clear" w:color="auto" w:fill="FFFFFF"/>
          <w:lang w:eastAsia="pl-PL"/>
        </w:rPr>
        <w:t>iezależnie od tego, Press Service wskazywała, że 41 artykułów</w:t>
      </w:r>
      <w:r>
        <w:rPr>
          <w:rFonts w:ascii="Garamond" w:eastAsia="Times New Roman" w:hAnsi="Garamond" w:cs="Arial"/>
          <w:color w:val="000000" w:themeColor="text1"/>
          <w:szCs w:val="24"/>
          <w:shd w:val="clear" w:color="auto" w:fill="FFFFFF"/>
          <w:lang w:eastAsia="pl-PL"/>
        </w:rPr>
        <w:t xml:space="preserve"> „</w:t>
      </w:r>
      <w:r w:rsidRPr="007849E8">
        <w:rPr>
          <w:rFonts w:ascii="Garamond" w:eastAsia="Times New Roman" w:hAnsi="Garamond" w:cs="Arial"/>
          <w:color w:val="000000" w:themeColor="text1"/>
          <w:szCs w:val="24"/>
          <w:shd w:val="clear" w:color="auto" w:fill="FFFFFF"/>
          <w:lang w:eastAsia="pl-PL"/>
        </w:rPr>
        <w:t>Dziennika Gazety Pra</w:t>
      </w:r>
      <w:r>
        <w:rPr>
          <w:rFonts w:ascii="Garamond" w:eastAsia="Times New Roman" w:hAnsi="Garamond" w:cs="Arial"/>
          <w:color w:val="000000" w:themeColor="text1"/>
          <w:szCs w:val="24"/>
          <w:shd w:val="clear" w:color="auto" w:fill="FFFFFF"/>
          <w:lang w:eastAsia="pl-PL"/>
        </w:rPr>
        <w:t>w</w:t>
      </w:r>
      <w:r w:rsidRPr="007849E8">
        <w:rPr>
          <w:rFonts w:ascii="Garamond" w:eastAsia="Times New Roman" w:hAnsi="Garamond" w:cs="Arial"/>
          <w:color w:val="000000" w:themeColor="text1"/>
          <w:szCs w:val="24"/>
          <w:shd w:val="clear" w:color="auto" w:fill="FFFFFF"/>
          <w:lang w:eastAsia="pl-PL"/>
        </w:rPr>
        <w:t>nej</w:t>
      </w:r>
      <w:r>
        <w:rPr>
          <w:rFonts w:ascii="Garamond" w:eastAsia="Times New Roman" w:hAnsi="Garamond" w:cs="Arial"/>
          <w:color w:val="000000" w:themeColor="text1"/>
          <w:szCs w:val="24"/>
          <w:shd w:val="clear" w:color="auto" w:fill="FFFFFF"/>
          <w:lang w:eastAsia="pl-PL"/>
        </w:rPr>
        <w:t>”</w:t>
      </w:r>
      <w:r w:rsidRPr="007849E8">
        <w:rPr>
          <w:rFonts w:ascii="Garamond" w:eastAsia="Times New Roman" w:hAnsi="Garamond" w:cs="Arial"/>
          <w:color w:val="000000" w:themeColor="text1"/>
          <w:szCs w:val="24"/>
          <w:shd w:val="clear" w:color="auto" w:fill="FFFFFF"/>
          <w:lang w:eastAsia="pl-PL"/>
        </w:rPr>
        <w:t xml:space="preserve"> będących przedmiotem postępowania ma charakter „drobny” i dlatego, z mocy przepisów prawa autorskiego, wyłączona jest ich ochrona. Kwestię tę</w:t>
      </w:r>
      <w:r>
        <w:rPr>
          <w:rFonts w:ascii="Garamond" w:eastAsia="Times New Roman" w:hAnsi="Garamond" w:cs="Arial"/>
          <w:color w:val="000000" w:themeColor="text1"/>
          <w:szCs w:val="24"/>
          <w:shd w:val="clear" w:color="auto" w:fill="FFFFFF"/>
          <w:lang w:eastAsia="pl-PL"/>
        </w:rPr>
        <w:t xml:space="preserve"> </w:t>
      </w:r>
      <w:r w:rsidRPr="007849E8">
        <w:rPr>
          <w:rFonts w:ascii="Garamond" w:eastAsia="Times New Roman" w:hAnsi="Garamond" w:cs="Arial"/>
          <w:color w:val="000000" w:themeColor="text1"/>
          <w:szCs w:val="24"/>
          <w:shd w:val="clear" w:color="auto" w:fill="FFFFFF"/>
          <w:lang w:eastAsia="pl-PL"/>
        </w:rPr>
        <w:t xml:space="preserve">jako zagadnienie wstępne również </w:t>
      </w:r>
      <w:r>
        <w:rPr>
          <w:rFonts w:ascii="Garamond" w:eastAsia="Times New Roman" w:hAnsi="Garamond" w:cs="Arial"/>
          <w:color w:val="000000" w:themeColor="text1"/>
          <w:szCs w:val="24"/>
          <w:shd w:val="clear" w:color="auto" w:fill="FFFFFF"/>
          <w:lang w:eastAsia="pl-PL"/>
        </w:rPr>
        <w:t xml:space="preserve">na korzyść wydawcy tj. uznając ochronę prawem autorskim, </w:t>
      </w:r>
      <w:r w:rsidRPr="007849E8">
        <w:rPr>
          <w:rFonts w:ascii="Garamond" w:eastAsia="Times New Roman" w:hAnsi="Garamond" w:cs="Arial"/>
          <w:color w:val="000000" w:themeColor="text1"/>
          <w:szCs w:val="24"/>
          <w:shd w:val="clear" w:color="auto" w:fill="FFFFFF"/>
          <w:lang w:eastAsia="pl-PL"/>
        </w:rPr>
        <w:t xml:space="preserve">przesądziły sądy na wcześniejszych etapach sprawy – Sąd Okręgowy w Poznaniu w wyroku </w:t>
      </w:r>
      <w:r w:rsidRPr="007849E8">
        <w:rPr>
          <w:rFonts w:ascii="Garamond" w:eastAsia="Calibri" w:hAnsi="Garamond" w:cs="Helvetica"/>
          <w:szCs w:val="24"/>
          <w:lang w:eastAsia="pl-PL"/>
        </w:rPr>
        <w:t xml:space="preserve">z 15 lipca 2016 r. </w:t>
      </w:r>
      <w:r w:rsidRPr="007849E8">
        <w:rPr>
          <w:rFonts w:ascii="Garamond" w:eastAsia="Times New Roman" w:hAnsi="Garamond" w:cs="Arial"/>
          <w:color w:val="000000" w:themeColor="text1"/>
          <w:szCs w:val="24"/>
          <w:shd w:val="clear" w:color="auto" w:fill="FFFFFF"/>
          <w:lang w:eastAsia="pl-PL"/>
        </w:rPr>
        <w:t xml:space="preserve">z dnia a następnie podtrzymał tę ocenę Sąd Apelacyjny w Poznaniu w wyroku z dnia </w:t>
      </w:r>
      <w:r w:rsidRPr="007849E8">
        <w:rPr>
          <w:rFonts w:ascii="Garamond" w:hAnsi="Garamond"/>
          <w:color w:val="000000" w:themeColor="text1"/>
          <w:szCs w:val="24"/>
        </w:rPr>
        <w:t>27 czerwca 2017 r</w:t>
      </w:r>
    </w:p>
    <w:p w:rsidR="00E0352B" w:rsidRDefault="00E0352B" w:rsidP="00E0352B">
      <w:pPr>
        <w:tabs>
          <w:tab w:val="left" w:pos="1868"/>
        </w:tabs>
        <w:rPr>
          <w:rFonts w:ascii="Garamond" w:hAnsi="Garamond"/>
          <w:szCs w:val="24"/>
        </w:rPr>
      </w:pPr>
    </w:p>
    <w:p w:rsidR="00E0352B" w:rsidRDefault="00E0352B" w:rsidP="00E0352B">
      <w:pPr>
        <w:tabs>
          <w:tab w:val="left" w:pos="1868"/>
        </w:tabs>
        <w:rPr>
          <w:rFonts w:ascii="Garamond" w:hAnsi="Garamond"/>
          <w:b/>
          <w:bCs/>
          <w:szCs w:val="24"/>
        </w:rPr>
      </w:pPr>
      <w:r w:rsidRPr="00176801">
        <w:rPr>
          <w:rFonts w:ascii="Garamond" w:hAnsi="Garamond"/>
          <w:b/>
          <w:bCs/>
          <w:szCs w:val="24"/>
        </w:rPr>
        <w:t>[</w:t>
      </w:r>
      <w:r>
        <w:rPr>
          <w:rFonts w:ascii="Garamond" w:hAnsi="Garamond"/>
          <w:b/>
          <w:bCs/>
          <w:szCs w:val="24"/>
        </w:rPr>
        <w:t>Poprzednie wyroki sądów i ostatni wyrok Sądu Apelacyjnego w Poznaniu</w:t>
      </w:r>
      <w:r w:rsidRPr="00176801">
        <w:rPr>
          <w:rFonts w:ascii="Garamond" w:hAnsi="Garamond"/>
          <w:b/>
          <w:bCs/>
          <w:szCs w:val="24"/>
        </w:rPr>
        <w:t>]</w:t>
      </w:r>
    </w:p>
    <w:p w:rsidR="00E0352B" w:rsidRPr="007849E8" w:rsidRDefault="00E0352B" w:rsidP="00E0352B">
      <w:pPr>
        <w:tabs>
          <w:tab w:val="left" w:pos="1868"/>
        </w:tabs>
        <w:rPr>
          <w:rFonts w:ascii="Garamond" w:hAnsi="Garamond"/>
          <w:szCs w:val="24"/>
        </w:rPr>
      </w:pPr>
    </w:p>
    <w:p w:rsidR="00E0352B" w:rsidRDefault="00E0352B" w:rsidP="00E0352B">
      <w:pPr>
        <w:tabs>
          <w:tab w:val="left" w:pos="426"/>
        </w:tabs>
        <w:rPr>
          <w:rFonts w:ascii="Garamond" w:hAnsi="Garamond"/>
          <w:szCs w:val="24"/>
        </w:rPr>
      </w:pPr>
      <w:r>
        <w:rPr>
          <w:rFonts w:ascii="Garamond" w:hAnsi="Garamond"/>
          <w:szCs w:val="24"/>
        </w:rPr>
        <w:tab/>
      </w:r>
      <w:r w:rsidRPr="007849E8">
        <w:rPr>
          <w:rFonts w:ascii="Garamond" w:hAnsi="Garamond"/>
          <w:szCs w:val="24"/>
        </w:rPr>
        <w:t xml:space="preserve">W </w:t>
      </w:r>
      <w:r w:rsidRPr="00D52309">
        <w:rPr>
          <w:rFonts w:ascii="Garamond" w:eastAsia="Times New Roman" w:hAnsi="Garamond" w:cs="Arial"/>
          <w:color w:val="000000" w:themeColor="text1"/>
          <w:szCs w:val="24"/>
          <w:shd w:val="clear" w:color="auto" w:fill="FFFFFF"/>
          <w:lang w:eastAsia="pl-PL"/>
        </w:rPr>
        <w:t>sprawie</w:t>
      </w:r>
      <w:r w:rsidRPr="007849E8">
        <w:rPr>
          <w:rFonts w:ascii="Garamond" w:hAnsi="Garamond"/>
          <w:szCs w:val="24"/>
        </w:rPr>
        <w:t xml:space="preserve"> toczącej się od 2012 r.</w:t>
      </w:r>
      <w:r>
        <w:rPr>
          <w:rFonts w:ascii="Garamond" w:hAnsi="Garamond"/>
          <w:szCs w:val="24"/>
        </w:rPr>
        <w:t xml:space="preserve"> uprzednio</w:t>
      </w:r>
      <w:r w:rsidRPr="007849E8">
        <w:rPr>
          <w:rFonts w:ascii="Garamond" w:hAnsi="Garamond"/>
          <w:szCs w:val="24"/>
        </w:rPr>
        <w:t xml:space="preserve"> zapadły dwa niekorzystne dla </w:t>
      </w:r>
      <w:proofErr w:type="spellStart"/>
      <w:r w:rsidRPr="007849E8">
        <w:rPr>
          <w:rFonts w:ascii="Garamond" w:hAnsi="Garamond"/>
          <w:szCs w:val="24"/>
        </w:rPr>
        <w:t>Infor</w:t>
      </w:r>
      <w:proofErr w:type="spellEnd"/>
      <w:r w:rsidRPr="007849E8">
        <w:rPr>
          <w:rFonts w:ascii="Garamond" w:hAnsi="Garamond"/>
          <w:szCs w:val="24"/>
        </w:rPr>
        <w:t xml:space="preserve"> Biznes wyroki Sądu Okręgowego, z których jeden został w całości przez Sąd Apelacyjny uchylony na korzyść wydawcy DGP. </w:t>
      </w:r>
      <w:r>
        <w:rPr>
          <w:rFonts w:ascii="Garamond" w:hAnsi="Garamond"/>
          <w:szCs w:val="24"/>
        </w:rPr>
        <w:t>Drugi,</w:t>
      </w:r>
      <w:r w:rsidRPr="007849E8">
        <w:rPr>
          <w:rFonts w:ascii="Garamond" w:hAnsi="Garamond"/>
          <w:szCs w:val="24"/>
        </w:rPr>
        <w:t xml:space="preserve"> niekorzystny dla </w:t>
      </w:r>
      <w:proofErr w:type="spellStart"/>
      <w:r w:rsidRPr="007849E8">
        <w:rPr>
          <w:rFonts w:ascii="Garamond" w:hAnsi="Garamond"/>
          <w:szCs w:val="24"/>
        </w:rPr>
        <w:t>Infor</w:t>
      </w:r>
      <w:proofErr w:type="spellEnd"/>
      <w:r w:rsidRPr="007849E8">
        <w:rPr>
          <w:rFonts w:ascii="Garamond" w:hAnsi="Garamond"/>
          <w:szCs w:val="24"/>
        </w:rPr>
        <w:t xml:space="preserve"> Biznes wyrok Sądu Apelacyjnego dopuszczający kwalifikowanie działalności Press Service jako mieszczącej się w ramach prawa cytatu, został </w:t>
      </w:r>
      <w:r>
        <w:rPr>
          <w:rFonts w:ascii="Garamond" w:hAnsi="Garamond"/>
          <w:szCs w:val="24"/>
        </w:rPr>
        <w:t xml:space="preserve">natomiast </w:t>
      </w:r>
      <w:r w:rsidRPr="007849E8">
        <w:rPr>
          <w:rFonts w:ascii="Garamond" w:hAnsi="Garamond"/>
          <w:szCs w:val="24"/>
        </w:rPr>
        <w:t>ost</w:t>
      </w:r>
      <w:r>
        <w:rPr>
          <w:rFonts w:ascii="Garamond" w:hAnsi="Garamond"/>
          <w:szCs w:val="24"/>
        </w:rPr>
        <w:t>at</w:t>
      </w:r>
      <w:r w:rsidRPr="007849E8">
        <w:rPr>
          <w:rFonts w:ascii="Garamond" w:hAnsi="Garamond"/>
          <w:szCs w:val="24"/>
        </w:rPr>
        <w:t>ecznie uchylony przez Są</w:t>
      </w:r>
      <w:r>
        <w:rPr>
          <w:rFonts w:ascii="Garamond" w:hAnsi="Garamond"/>
          <w:szCs w:val="24"/>
        </w:rPr>
        <w:t>d</w:t>
      </w:r>
      <w:r w:rsidRPr="007849E8">
        <w:rPr>
          <w:rFonts w:ascii="Garamond" w:hAnsi="Garamond"/>
          <w:szCs w:val="24"/>
        </w:rPr>
        <w:t xml:space="preserve"> Najwyższy</w:t>
      </w:r>
      <w:r>
        <w:rPr>
          <w:rFonts w:ascii="Garamond" w:hAnsi="Garamond"/>
          <w:szCs w:val="24"/>
        </w:rPr>
        <w:t xml:space="preserve"> w dniu 9 sierpnia 2019 r</w:t>
      </w:r>
      <w:r w:rsidRPr="007849E8">
        <w:rPr>
          <w:rFonts w:ascii="Garamond" w:hAnsi="Garamond"/>
          <w:szCs w:val="24"/>
        </w:rPr>
        <w:t xml:space="preserve">. </w:t>
      </w:r>
      <w:r>
        <w:rPr>
          <w:rFonts w:ascii="Garamond" w:hAnsi="Garamond"/>
          <w:szCs w:val="24"/>
        </w:rPr>
        <w:t>Obecny wyrok Sądu Apelacyjnego w Poznaniu jest następstwem powyższego wyroku Sądu Najwyższego.</w:t>
      </w:r>
    </w:p>
    <w:p w:rsidR="00E0352B" w:rsidRPr="007849E8" w:rsidRDefault="00E0352B" w:rsidP="00E0352B">
      <w:pPr>
        <w:tabs>
          <w:tab w:val="center" w:pos="4536"/>
          <w:tab w:val="right" w:pos="9072"/>
        </w:tabs>
        <w:rPr>
          <w:rFonts w:ascii="Garamond" w:eastAsia="Calibri" w:hAnsi="Garamond" w:cs="Helvetica"/>
          <w:bCs/>
          <w:color w:val="000000" w:themeColor="text1"/>
          <w:szCs w:val="24"/>
          <w:lang w:eastAsia="pl-PL"/>
        </w:rPr>
      </w:pPr>
    </w:p>
    <w:p w:rsidR="00E0352B" w:rsidRDefault="00E0352B" w:rsidP="00E0352B">
      <w:pPr>
        <w:tabs>
          <w:tab w:val="left" w:pos="1868"/>
        </w:tabs>
        <w:rPr>
          <w:rFonts w:ascii="Garamond" w:hAnsi="Garamond"/>
          <w:b/>
          <w:bCs/>
          <w:szCs w:val="24"/>
        </w:rPr>
      </w:pPr>
      <w:r w:rsidRPr="00176801">
        <w:rPr>
          <w:rFonts w:ascii="Garamond" w:hAnsi="Garamond"/>
          <w:b/>
          <w:bCs/>
          <w:szCs w:val="24"/>
        </w:rPr>
        <w:lastRenderedPageBreak/>
        <w:t>[</w:t>
      </w:r>
      <w:r>
        <w:rPr>
          <w:rFonts w:ascii="Garamond" w:hAnsi="Garamond"/>
          <w:b/>
          <w:bCs/>
          <w:szCs w:val="24"/>
        </w:rPr>
        <w:t>Wyrok w sprawie z powództwa wydawcy „DGP” a sprawa z powództwa SDiW REPROPOL</w:t>
      </w:r>
      <w:r w:rsidRPr="00176801">
        <w:rPr>
          <w:rFonts w:ascii="Garamond" w:hAnsi="Garamond"/>
          <w:b/>
          <w:bCs/>
          <w:szCs w:val="24"/>
        </w:rPr>
        <w:t>]</w:t>
      </w:r>
    </w:p>
    <w:p w:rsidR="00E0352B" w:rsidRDefault="00E0352B" w:rsidP="00E0352B">
      <w:pPr>
        <w:tabs>
          <w:tab w:val="left" w:pos="1868"/>
        </w:tabs>
        <w:rPr>
          <w:rFonts w:ascii="Garamond" w:hAnsi="Garamond"/>
          <w:b/>
          <w:bCs/>
          <w:szCs w:val="24"/>
        </w:rPr>
      </w:pPr>
    </w:p>
    <w:p w:rsidR="00E0352B" w:rsidRDefault="00E0352B" w:rsidP="00E0352B">
      <w:pPr>
        <w:tabs>
          <w:tab w:val="left" w:pos="1868"/>
        </w:tabs>
        <w:ind w:firstLine="426"/>
        <w:rPr>
          <w:rFonts w:ascii="Garamond" w:hAnsi="Garamond"/>
          <w:szCs w:val="24"/>
        </w:rPr>
      </w:pPr>
      <w:r w:rsidRPr="007F4D5B">
        <w:rPr>
          <w:rFonts w:ascii="Garamond" w:hAnsi="Garamond"/>
          <w:szCs w:val="24"/>
        </w:rPr>
        <w:t xml:space="preserve">Opisane wyżej postępowanie w sprawie z powództwa wydawcy „DGP” zakończone wyrokiem z dnia 15 lipca 2020 r. </w:t>
      </w:r>
      <w:r>
        <w:rPr>
          <w:rFonts w:ascii="Garamond" w:hAnsi="Garamond"/>
          <w:szCs w:val="24"/>
        </w:rPr>
        <w:t>jest związane powództwem jakie SDiW REPROPOL wytoczyło Press Service już w roku 2011 (sygn. XI C 539/11/3). Press Service zawiesiło to postępowanie kwestionując zezwolenie SDiW REPROPOL do zarządzania prawami wydawców. Sprawa administracyjna w tym zakresie dwukrotnie była rozpatrywana przez Ministra Kultury, który nie dopatrzył się podstaw do uchylenia zezwolenia temu stowarzyszeniu. Stanowisko Ministra Kultury zostało podtrzymane także przez Wojewódzki Sąd Administracyjny w wyroku 12 mara 2018 r. (sygn. VII SA/</w:t>
      </w:r>
      <w:proofErr w:type="spellStart"/>
      <w:r>
        <w:rPr>
          <w:rFonts w:ascii="Garamond" w:hAnsi="Garamond"/>
          <w:szCs w:val="24"/>
        </w:rPr>
        <w:t>Wa</w:t>
      </w:r>
      <w:proofErr w:type="spellEnd"/>
      <w:r>
        <w:rPr>
          <w:rFonts w:ascii="Garamond" w:hAnsi="Garamond"/>
          <w:szCs w:val="24"/>
        </w:rPr>
        <w:t xml:space="preserve"> 1189/17). Wyrok ten zaskarżył Press Service, sprawa obecnie oczekuje na rozstrzygnięcie przez Naczelny Sąd Administracyjny.</w:t>
      </w:r>
    </w:p>
    <w:p w:rsidR="00E0352B" w:rsidRPr="007F4D5B" w:rsidRDefault="00E0352B" w:rsidP="00E0352B">
      <w:pPr>
        <w:tabs>
          <w:tab w:val="left" w:pos="1868"/>
        </w:tabs>
        <w:ind w:firstLine="426"/>
        <w:rPr>
          <w:rFonts w:ascii="Garamond" w:hAnsi="Garamond"/>
          <w:szCs w:val="24"/>
        </w:rPr>
      </w:pPr>
      <w:r>
        <w:rPr>
          <w:rFonts w:ascii="Garamond" w:hAnsi="Garamond"/>
          <w:szCs w:val="24"/>
        </w:rPr>
        <w:t>W analogicznej sprawie skargi złożonej przez Instytut Monitorowania Mediów sp. z o.o., uprzednio już Naczelny Sąd Administracyjny wydał wyrok, w którym uznał, że SDiW REPROPOL ma legitymację do zarządzania prawami autorskimi wydawców, w tym może dochodzić roszczeń z tytułu naruszenia ich praw (sygn. II OSK 1897/15).</w:t>
      </w:r>
    </w:p>
    <w:p w:rsidR="00E0352B" w:rsidRDefault="00E0352B" w:rsidP="00E0352B"/>
    <w:sectPr w:rsidR="00E03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2B"/>
    <w:rsid w:val="00191FE7"/>
    <w:rsid w:val="002E3B7F"/>
    <w:rsid w:val="00BA14F5"/>
    <w:rsid w:val="00E03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70596-EC3D-42F8-B53B-58FD3A8D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firstLine="14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352B"/>
    <w:pPr>
      <w:spacing w:line="360" w:lineRule="auto"/>
      <w:ind w:firstLine="0"/>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1928</Words>
  <Characters>11573</Characters>
  <Application>Microsoft Office Word</Application>
  <DocSecurity>0</DocSecurity>
  <Lines>96</Lines>
  <Paragraphs>26</Paragraphs>
  <ScaleCrop>false</ScaleCrop>
  <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Repropol4</dc:creator>
  <cp:keywords/>
  <dc:description/>
  <cp:lastModifiedBy>Repropol4</cp:lastModifiedBy>
  <cp:revision>2</cp:revision>
  <dcterms:created xsi:type="dcterms:W3CDTF">2021-01-18T08:15:00Z</dcterms:created>
  <dcterms:modified xsi:type="dcterms:W3CDTF">2021-01-18T08:15:00Z</dcterms:modified>
</cp:coreProperties>
</file>