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3C" w:rsidRDefault="00C5613C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PRAWA POKREWNE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Co to są prawa pokrewne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Prawa pokrewne to siostrzane prawa do prawa autorskiego (stąd też ich nazwa), których celem jest ochrona nakładów poniesionych przez producenta w związku z powstaniem utworu, treś</w:t>
      </w:r>
      <w:r w:rsidR="003B6815">
        <w:rPr>
          <w:sz w:val="23"/>
          <w:szCs w:val="23"/>
        </w:rPr>
        <w:t>ci. W na</w:t>
      </w:r>
      <w:r>
        <w:rPr>
          <w:sz w:val="23"/>
          <w:szCs w:val="23"/>
        </w:rPr>
        <w:t xml:space="preserve">szym przypadku są to koszty, bez poniesienia których materiały prasowe nie mogłyby powstać (wy-nagrodzenia dziennikarzy, redaktorów, grafików, fotografów itp.; utrzymanie redakcji; inwestycje w wyposażenie techniczne). </w:t>
      </w: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Prawa pokrewne dla wydawców prasy zapewniłoby wydawcom takie same prawa, jakie już przysł</w:t>
      </w:r>
      <w:r w:rsidR="003B6815">
        <w:rPr>
          <w:sz w:val="23"/>
          <w:szCs w:val="23"/>
        </w:rPr>
        <w:t>u</w:t>
      </w:r>
      <w:r>
        <w:rPr>
          <w:sz w:val="23"/>
          <w:szCs w:val="23"/>
        </w:rPr>
        <w:t>gują producentom utworów muzycznych, filmów czy programów komputerowych, których ukończone utwory są w pełni chronione. Obecnie wydawcy nie posiadają</w:t>
      </w:r>
      <w:r w:rsidR="003B6815">
        <w:rPr>
          <w:sz w:val="23"/>
          <w:szCs w:val="23"/>
        </w:rPr>
        <w:t xml:space="preserve"> takich praw (konieczne wpro</w:t>
      </w:r>
      <w:r>
        <w:rPr>
          <w:sz w:val="23"/>
          <w:szCs w:val="23"/>
        </w:rPr>
        <w:t xml:space="preserve">wadzenie art. 11 projektu dyrektywy w sprawie praw autorskich na jednolitym rynku cyfrowym).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spacing w:after="175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Mity i nieprawdy rozpowszechniane nt. praw pokrewnych dla wydawców prasy </w:t>
      </w: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Podatek od linków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żaden podatek, którego właściwości i cele są całkowicie inne od propozycji. Chodzi o uznanie wydawców za podmioty praw. W art. 11 wyraźnie zapisano, iż regulacja nie będzie dotyczyć linków, pojedynczych słów i bardzo krótkich wycinków. Linkowanie nie jest zatem zagrożone. </w:t>
      </w: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Szkoda dla małych wydawców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Bez prawa mali wydawcy są „na przegranej pozycji” w negocjacjach z gigantami internetowymi a także polskimi platformami. To właśnie przede wszystkim małych wydawców nie stać</w:t>
      </w:r>
      <w:r w:rsidR="003B6815">
        <w:rPr>
          <w:sz w:val="23"/>
          <w:szCs w:val="23"/>
        </w:rPr>
        <w:t xml:space="preserve"> na prowa</w:t>
      </w:r>
      <w:r>
        <w:rPr>
          <w:sz w:val="23"/>
          <w:szCs w:val="23"/>
        </w:rPr>
        <w:t xml:space="preserve">dzenie kosztownych procesów sądowych. Prawo pokrewne daje im odpowiednią ochronę i wzmacnia ich pozycję negocjacyjną.  </w:t>
      </w: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Nowe, nadzwyczajne prawo dla wydawców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nie jest nowe prawo. Takie prawo – i to w zdecydowanie szerszym zakresie – przysługuje od lat producentom muzyki czy filmów, nadawcom radiowym i TV, producentom gier i oprogramowania i jest z powodzeniem wykorzystywane przez beneficjentów.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Prawo przeciwko użytkownikom, kryminalizacja ich zachowań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Propozycja w żaden sposób nie zmienia sytuacji użytkownika, który dalej będzie mógł przesyłać linki czy dzielić się tekstami z przyjaciółmi. Stosowane będą wszystkie dotychczasowe wyjątki dla </w:t>
      </w:r>
      <w:r w:rsidR="007C4F4D">
        <w:rPr>
          <w:sz w:val="23"/>
          <w:szCs w:val="23"/>
        </w:rPr>
        <w:t>użytkowników</w:t>
      </w:r>
      <w:r>
        <w:rPr>
          <w:sz w:val="23"/>
          <w:szCs w:val="23"/>
        </w:rPr>
        <w:t xml:space="preserve"> o ile nie służą celom biznesowym. Dodatkowo dyrektywa wprowadzi nowe wyjątki, m.in. w zakresie tzw. eksploracji tekstów i danych, który szczególnie będzie służył polskiej nauce. Umowy zawierane przez platformy z twórcami i producentami mają gwarantować ochronę użytkowników, którzy nie będą pociągani do odpowiedzialności za zamieszczanie na platformach treści podlegających ochronie prawnoautorskiej.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Prawo przeciwko Google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 chodzi tutaj o żadną konkretną firmę, ale o model biznesowy polegający na odnoszeniu korzyści z wykorzystywania materiałów prasowych bez ponoszenia jakichkolwiek kosztów związanych z ich powstaniem i bez wypłaty rekompensat właścicielom praw. Faktycznie dotyczy to głównie wielkich, światowych koncernów internetowych.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Blokowanie dostępu do treści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Wydawcy – wobec spadku nakładów papierowych wydań – poszerzają swój zasięg poprzez udost</w:t>
      </w:r>
      <w:r w:rsidR="007C4F4D">
        <w:rPr>
          <w:sz w:val="23"/>
          <w:szCs w:val="23"/>
        </w:rPr>
        <w:t>ęp</w:t>
      </w:r>
      <w:r>
        <w:rPr>
          <w:sz w:val="23"/>
          <w:szCs w:val="23"/>
        </w:rPr>
        <w:t xml:space="preserve">nianie swoich treści na różnorodnych nośnikach i we wszelkich formatach. W interesie wydawców leży szeroka dostępność treści, dlatego nikt nie będzie blokował dostępu. </w:t>
      </w:r>
    </w:p>
    <w:p w:rsidR="00C5613C" w:rsidRDefault="00C5613C">
      <w:pPr>
        <w:pStyle w:val="Default"/>
        <w:pageBreakBefore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Hiszpania i Niemcy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Rozwiązania niemieckie i hiszpańskie nie są „nieskuteczne”. W Niemczech trwa postępowanie anty-monopolowe przed sądem, a zgoda wydawców na darmowe korzystanie z treści jest warunkowa do czasu zakończenia wspomnianego postępowania. W Hiszpanii wydawcy odnoszą korzyści i to po-mimo zamknięcia Google News – ruch na strony wydawców jest większy niż przed zamknięciem serwisu Google, a organizacja zbiorowego zarządzania podpisuje już umowy z innymi agregatorami.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Tylko dla „bogatych” wydawców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artykule 11. wyraźnie zapisano, iż dziennikarze mają dostać uczciwy udział w rekompensatach otrzymywanych przez wydawców z tytułu prawa pokrewnego. W Polsce wydawcy zdecydowali, iż będzie to równy udział – 50% dla dziennikarzy i 50% dla wydawców.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Przykłady naruszeń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Chodzi o takie sytuacje, w których pośrednik zamieszcza informacje prasowe (najważniejsze części artykułu), zaspokajając zainteresowanie czytelnika, który nie przechodzi na stronę wydawcy (często nie ma nawet linku). Pośrednik korzysta bezpośrednio zamieszczając reklamy, sprzedając dostęp priorytetowy, a także pośrednio – zbierając ogromną ilość danych o użytkowniku (co ma wymierną wartość – profilowanie oferty nie tylko reklamowej).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spacing w:after="175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Mity i nieprawdy rozpowszechniane nt. art. 13 Dyrektywy </w:t>
      </w: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To cenzura internetu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Regulacja art. 13 dotyczy tylko wąskiego grona dużych podmiotów</w:t>
      </w:r>
      <w:r w:rsidR="007C4F4D">
        <w:rPr>
          <w:sz w:val="23"/>
          <w:szCs w:val="23"/>
        </w:rPr>
        <w:t xml:space="preserve"> technologicznych – tzw. dostaw</w:t>
      </w:r>
      <w:r>
        <w:rPr>
          <w:sz w:val="23"/>
          <w:szCs w:val="23"/>
        </w:rPr>
        <w:t>ców usług udostępniania treści online, którzy aktywnie udostępniają treści i na nich zarabiają. Będą oni zobowiązani do monitorowania treści zamieszczanych przez internautów i podpisywania umów z twórcami i producentami. Przewiduje się zwolnienie z odpowiedzialności, jeśli z prz</w:t>
      </w:r>
      <w:r w:rsidR="007C4F4D">
        <w:rPr>
          <w:sz w:val="23"/>
          <w:szCs w:val="23"/>
        </w:rPr>
        <w:t>yczyn nieza</w:t>
      </w:r>
      <w:r>
        <w:rPr>
          <w:sz w:val="23"/>
          <w:szCs w:val="23"/>
        </w:rPr>
        <w:t xml:space="preserve">leżnych od portalu nie udało zawrzeć się umowy. Środki podejmowane przez platformy mają być wypracowane w ramach dialogu pomiędzy zainteresowanymi stronami (platformami, posiadaczami praw, organizacjami użytkowników) i nie mogą też prowadzić do generalnego monitorowania treści.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Uderzy w start-upy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przepisie wyraźnie zaznaczono, iż regulacja nie dotyczy podmiotów, które istnieją na rynku krócej niż trzy lata i o obrotach niższych niż 10 mln euro rocznie. Regulacja obejmie zatem tylko duże platformy – mikro, małe i średnie przedsiębiorstwa mogą dalej działać tak, jak dotychczas.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Ucierpią internauci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Regulacja przewiduje dodatkową ochronę internautów. Umowy licencyjne muszą zawierać</w:t>
      </w:r>
      <w:r w:rsidR="007C4F4D">
        <w:rPr>
          <w:sz w:val="23"/>
          <w:szCs w:val="23"/>
        </w:rPr>
        <w:t xml:space="preserve"> gwaran</w:t>
      </w:r>
      <w:r>
        <w:rPr>
          <w:sz w:val="23"/>
          <w:szCs w:val="23"/>
        </w:rPr>
        <w:t>cje, iż internauta nie będzie odpowiadać za „wrzucanie” treści c</w:t>
      </w:r>
      <w:r w:rsidR="007C4F4D">
        <w:rPr>
          <w:sz w:val="23"/>
          <w:szCs w:val="23"/>
        </w:rPr>
        <w:t>hronionych prawem autorskim. Do</w:t>
      </w:r>
      <w:r>
        <w:rPr>
          <w:sz w:val="23"/>
          <w:szCs w:val="23"/>
        </w:rPr>
        <w:t>datkowo przewiduje się obligatoryjne wyjątki dot. cytowania, kry</w:t>
      </w:r>
      <w:r w:rsidR="007C4F4D">
        <w:rPr>
          <w:sz w:val="23"/>
          <w:szCs w:val="23"/>
        </w:rPr>
        <w:t>tykowania, recenzowania, karyka</w:t>
      </w:r>
      <w:r>
        <w:rPr>
          <w:sz w:val="23"/>
          <w:szCs w:val="23"/>
        </w:rPr>
        <w:t xml:space="preserve">tury, parodii, pastiszu - czyli memy i gify dalej mogą być tworzone. Ponadto istnieć ma sprawny mechanizm odwoławczy, gdyby coś zostało niesłusznie zablokowane. </w:t>
      </w:r>
    </w:p>
    <w:p w:rsidR="003B6815" w:rsidRDefault="003B6815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Co dalej? </w:t>
      </w:r>
    </w:p>
    <w:p w:rsidR="00C5613C" w:rsidRDefault="00C5613C">
      <w:pPr>
        <w:pStyle w:val="Default"/>
        <w:rPr>
          <w:sz w:val="23"/>
          <w:szCs w:val="23"/>
        </w:rPr>
      </w:pPr>
    </w:p>
    <w:p w:rsidR="00C5613C" w:rsidRDefault="00C56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Brzmienie dyrektywy zostało wypracowane w rozmowach trójstronnych pomiędzy KE, RE i PE. W lutym tekst został przyjęty przez Radę Europejską oraz Komisję</w:t>
      </w:r>
      <w:r w:rsidR="007C4F4D">
        <w:rPr>
          <w:sz w:val="23"/>
          <w:szCs w:val="23"/>
        </w:rPr>
        <w:t xml:space="preserve"> ds. Prawnych Parlamentu Euro</w:t>
      </w:r>
      <w:r>
        <w:rPr>
          <w:sz w:val="23"/>
          <w:szCs w:val="23"/>
        </w:rPr>
        <w:t xml:space="preserve">pejskiego. Wkrótce odbędzie się głosowanie plenarne PE. </w:t>
      </w:r>
    </w:p>
    <w:p w:rsidR="003B6815" w:rsidRDefault="003B6815">
      <w:pPr>
        <w:pStyle w:val="Default"/>
      </w:pPr>
    </w:p>
    <w:sectPr w:rsidR="003B6815">
      <w:pgSz w:w="11906" w:h="17338"/>
      <w:pgMar w:top="1128" w:right="547" w:bottom="855" w:left="90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5C5862"/>
    <w:multiLevelType w:val="hybridMultilevel"/>
    <w:tmpl w:val="B19466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8B223AF"/>
    <w:multiLevelType w:val="hybridMultilevel"/>
    <w:tmpl w:val="F8E9788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E4CB777"/>
    <w:multiLevelType w:val="hybridMultilevel"/>
    <w:tmpl w:val="7AA058F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1FDE7F6"/>
    <w:multiLevelType w:val="hybridMultilevel"/>
    <w:tmpl w:val="652928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35C67D9"/>
    <w:multiLevelType w:val="hybridMultilevel"/>
    <w:tmpl w:val="D00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E47CB108"/>
    <w:multiLevelType w:val="hybridMultilevel"/>
    <w:tmpl w:val="D419538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3D72E03"/>
    <w:multiLevelType w:val="hybridMultilevel"/>
    <w:tmpl w:val="A5DA55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FD76081"/>
    <w:multiLevelType w:val="hybridMultilevel"/>
    <w:tmpl w:val="958499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28243C1"/>
    <w:multiLevelType w:val="hybridMultilevel"/>
    <w:tmpl w:val="7F7C134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3B8AED3"/>
    <w:multiLevelType w:val="hybridMultilevel"/>
    <w:tmpl w:val="3168AFB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B859238"/>
    <w:multiLevelType w:val="hybridMultilevel"/>
    <w:tmpl w:val="33D45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C9512F6"/>
    <w:multiLevelType w:val="hybridMultilevel"/>
    <w:tmpl w:val="6C3A5D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B7DF2A"/>
    <w:multiLevelType w:val="hybridMultilevel"/>
    <w:tmpl w:val="9C2483A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A1470D"/>
    <w:multiLevelType w:val="hybridMultilevel"/>
    <w:tmpl w:val="821D11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5"/>
    <w:rsid w:val="003B6815"/>
    <w:rsid w:val="006D4150"/>
    <w:rsid w:val="007C4F4D"/>
    <w:rsid w:val="00BB1F61"/>
    <w:rsid w:val="00C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420C448-19B6-6942-97B7-BA71570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paweł nowacki</cp:lastModifiedBy>
  <cp:revision>2</cp:revision>
  <dcterms:created xsi:type="dcterms:W3CDTF">2019-03-23T09:12:00Z</dcterms:created>
  <dcterms:modified xsi:type="dcterms:W3CDTF">2019-03-23T09:12:00Z</dcterms:modified>
</cp:coreProperties>
</file>