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57" w:rsidRDefault="00465857" w:rsidP="00F7649C">
      <w:pPr>
        <w:rPr>
          <w:rFonts w:ascii="Times New Roman" w:hAnsi="Times New Roman" w:cs="Times New Roman"/>
          <w:b/>
          <w:sz w:val="32"/>
          <w:szCs w:val="24"/>
        </w:rPr>
      </w:pPr>
      <w:r>
        <w:rPr>
          <w:rFonts w:ascii="Times New Roman" w:hAnsi="Times New Roman" w:cs="Times New Roman"/>
          <w:b/>
          <w:sz w:val="32"/>
          <w:szCs w:val="24"/>
        </w:rPr>
        <w:t>I. WOLNOŚĆ WYPOWIEDZI</w:t>
      </w:r>
    </w:p>
    <w:p w:rsidR="00465857" w:rsidRDefault="00465857" w:rsidP="00F7649C">
      <w:pPr>
        <w:rPr>
          <w:rFonts w:ascii="Times New Roman" w:hAnsi="Times New Roman" w:cs="Times New Roman"/>
          <w:b/>
          <w:sz w:val="24"/>
          <w:szCs w:val="24"/>
        </w:rPr>
      </w:pPr>
    </w:p>
    <w:p w:rsidR="00465857" w:rsidRDefault="00465857" w:rsidP="00FB68C7">
      <w:pPr>
        <w:pStyle w:val="Akapitzlist"/>
        <w:numPr>
          <w:ilvl w:val="0"/>
          <w:numId w:val="6"/>
        </w:numPr>
        <w:spacing w:after="120" w:line="360" w:lineRule="auto"/>
        <w:ind w:left="714" w:hanging="357"/>
        <w:rPr>
          <w:rFonts w:ascii="Times New Roman" w:hAnsi="Times New Roman" w:cs="Times New Roman"/>
          <w:b/>
          <w:sz w:val="24"/>
          <w:szCs w:val="24"/>
        </w:rPr>
      </w:pPr>
      <w:r>
        <w:rPr>
          <w:rFonts w:ascii="Times New Roman" w:hAnsi="Times New Roman" w:cs="Times New Roman"/>
          <w:b/>
          <w:sz w:val="24"/>
          <w:szCs w:val="24"/>
        </w:rPr>
        <w:t>ROME II i BRUSSELS I</w:t>
      </w:r>
    </w:p>
    <w:p w:rsidR="00FB68C7" w:rsidRDefault="00FB68C7" w:rsidP="00FB68C7">
      <w:pPr>
        <w:pStyle w:val="Default"/>
        <w:spacing w:after="120" w:line="360" w:lineRule="auto"/>
        <w:ind w:firstLine="567"/>
        <w:jc w:val="both"/>
      </w:pPr>
      <w:r w:rsidRPr="00FB68C7">
        <w:t>W zakresie wolności wypowiedzi wciąż aktualnym zagadnieniem jest sprawa regulacji ROME II, ustalającej prawo jakiego kraju ma być stosowane w przypadkach naruszenia porządku prawnego przez publikacje zagraniczne (ROME II – zasada kra</w:t>
      </w:r>
      <w:r w:rsidR="00747D0F">
        <w:t>ju pochodzenia). Na 2009 rok Ko</w:t>
      </w:r>
      <w:r w:rsidRPr="00FB68C7">
        <w:t>misja Europejska zaplanowała rozszerzenie tej regulacji na wyłąc</w:t>
      </w:r>
      <w:r w:rsidR="00960BEA">
        <w:t>zone obecnie z jej zakresu prze</w:t>
      </w:r>
      <w:r w:rsidRPr="00FB68C7">
        <w:t>stępstwo zniesławienia „ponadgranicznego” (tzw. cross border de</w:t>
      </w:r>
      <w:r>
        <w:t>famation). Firma przeprowadzają</w:t>
      </w:r>
      <w:r w:rsidRPr="00FB68C7">
        <w:t xml:space="preserve">ca publiczną konsultację w tym zakresie opublikowała niedawno raport odnośnie zniesławienia „ponadgranicznego”, w którym przedstawiono zaledwie cztery tego typu przypadki. Dlatego też </w:t>
      </w:r>
      <w:r w:rsidR="0061459D">
        <w:t>projektowana</w:t>
      </w:r>
      <w:r w:rsidRPr="00FB68C7">
        <w:t xml:space="preserve"> rewizja stoi pod znakiem zapytania. W tym zakresie znaczenie ma także regulacja BRUSSELS I, która dot. jurysdykcji (czyli ustalenia, sąd którego kraju powinien orzekać w danej sprawie – czy kraju dystrybucji, czy kraju siedziby wydawcy) i której rewizję zapowiedziano na koniec b.r.</w:t>
      </w:r>
    </w:p>
    <w:p w:rsidR="00BD6260" w:rsidRPr="00BD6260" w:rsidRDefault="00BD6260" w:rsidP="00BD6260">
      <w:pPr>
        <w:pStyle w:val="Default"/>
        <w:spacing w:before="240" w:after="120" w:line="360" w:lineRule="auto"/>
        <w:jc w:val="both"/>
        <w:rPr>
          <w:b/>
        </w:rPr>
      </w:pPr>
      <w:r w:rsidRPr="00BD6260">
        <w:rPr>
          <w:b/>
        </w:rPr>
        <w:t>Stanowisko:</w:t>
      </w:r>
    </w:p>
    <w:p w:rsidR="00FB68C7" w:rsidRPr="00FB68C7" w:rsidRDefault="0061459D" w:rsidP="00FB68C7">
      <w:pPr>
        <w:pStyle w:val="Default"/>
        <w:spacing w:after="120" w:line="360" w:lineRule="auto"/>
        <w:ind w:firstLine="567"/>
        <w:jc w:val="both"/>
      </w:pPr>
      <w:r>
        <w:t>O</w:t>
      </w:r>
      <w:r w:rsidR="00FB68C7">
        <w:t>bie te regulacje gwarantują przestrzeganie prawa i zapewniają należyte ściganie i karanie ewentualnych przypadków jego narus</w:t>
      </w:r>
      <w:r>
        <w:t>zenia przez media i</w:t>
      </w:r>
      <w:r w:rsidR="00FB68C7">
        <w:t xml:space="preserve"> na obecnym etapie, </w:t>
      </w:r>
      <w:r>
        <w:t xml:space="preserve">w opinii wydawców, nie wymagają </w:t>
      </w:r>
      <w:r w:rsidR="00FB68C7">
        <w:t>nowelizacji. Ich skutki mogłyby, bowiem, naruszać – w sposób niezamierzony – istniejący obecnie system, zapewniający porządek i poszanowanie prawa.</w:t>
      </w:r>
    </w:p>
    <w:p w:rsidR="00117BC9" w:rsidRDefault="00117BC9" w:rsidP="00117BC9">
      <w:pPr>
        <w:pStyle w:val="Akapitzlist"/>
        <w:rPr>
          <w:rFonts w:ascii="Times New Roman" w:hAnsi="Times New Roman" w:cs="Times New Roman"/>
          <w:b/>
          <w:sz w:val="24"/>
          <w:szCs w:val="24"/>
        </w:rPr>
      </w:pPr>
    </w:p>
    <w:p w:rsidR="00465857" w:rsidRDefault="00465857" w:rsidP="00FB68C7">
      <w:pPr>
        <w:pStyle w:val="Akapitzlist"/>
        <w:numPr>
          <w:ilvl w:val="0"/>
          <w:numId w:val="6"/>
        </w:numPr>
        <w:spacing w:after="120" w:line="360" w:lineRule="auto"/>
        <w:ind w:left="714" w:hanging="357"/>
        <w:rPr>
          <w:rFonts w:ascii="Times New Roman" w:hAnsi="Times New Roman" w:cs="Times New Roman"/>
          <w:b/>
          <w:sz w:val="24"/>
          <w:szCs w:val="24"/>
        </w:rPr>
      </w:pPr>
      <w:r>
        <w:rPr>
          <w:rFonts w:ascii="Times New Roman" w:hAnsi="Times New Roman" w:cs="Times New Roman"/>
          <w:b/>
          <w:sz w:val="24"/>
          <w:szCs w:val="24"/>
        </w:rPr>
        <w:t>EQUAL TREATMENT DIRECTIVE</w:t>
      </w:r>
    </w:p>
    <w:p w:rsidR="00117BC9" w:rsidRDefault="00117BC9" w:rsidP="00FB68C7">
      <w:pPr>
        <w:pStyle w:val="Akapitzlist"/>
        <w:spacing w:after="120" w:line="360" w:lineRule="auto"/>
        <w:ind w:left="0" w:firstLine="720"/>
        <w:jc w:val="both"/>
        <w:rPr>
          <w:rFonts w:ascii="Times New Roman" w:hAnsi="Times New Roman" w:cs="Times New Roman"/>
          <w:sz w:val="24"/>
          <w:szCs w:val="24"/>
        </w:rPr>
      </w:pPr>
      <w:r w:rsidRPr="00B11530">
        <w:rPr>
          <w:rFonts w:ascii="Times New Roman" w:hAnsi="Times New Roman" w:cs="Times New Roman"/>
          <w:sz w:val="24"/>
          <w:szCs w:val="24"/>
        </w:rPr>
        <w:t>W zeszłym roku Rada Europy zaproponowała wprowadzenie dyrektywy zatytułowanej: „Równe traktowanie: wprowadzanie w życie zasady równego traktowania między osobami bez względu na ich religię bądź wiarę, niepełnosprawność, wiek albo orientację seksualną” m.in. w zakresie dostępu do towarów i usług (w tym np. usług reklamowych). W sw</w:t>
      </w:r>
      <w:r>
        <w:rPr>
          <w:rFonts w:ascii="Times New Roman" w:hAnsi="Times New Roman" w:cs="Times New Roman"/>
          <w:sz w:val="24"/>
          <w:szCs w:val="24"/>
        </w:rPr>
        <w:t>oich założeniach dyrektywa ta ma</w:t>
      </w:r>
      <w:r w:rsidRPr="00B11530">
        <w:rPr>
          <w:rFonts w:ascii="Times New Roman" w:hAnsi="Times New Roman" w:cs="Times New Roman"/>
          <w:sz w:val="24"/>
          <w:szCs w:val="24"/>
        </w:rPr>
        <w:t xml:space="preserve"> stanowić uzupełnienie obowiązującej dyrektywy dotyczącej dyskryminacji ze względu na płeć (2004/113/WE</w:t>
      </w:r>
      <w:r w:rsidRPr="00FC53FE">
        <w:rPr>
          <w:vertAlign w:val="superscript"/>
        </w:rPr>
        <w:footnoteReference w:id="2"/>
      </w:r>
      <w:r w:rsidRPr="00B11530">
        <w:rPr>
          <w:rFonts w:ascii="Times New Roman" w:hAnsi="Times New Roman" w:cs="Times New Roman"/>
          <w:sz w:val="24"/>
          <w:szCs w:val="24"/>
        </w:rPr>
        <w:t xml:space="preserve">). W przeciwieństwie jednak do tej ostatniej, nie zawiera ona żadnego wykluczenia dotyczącego mediów. Oznacza to, iż w przypadku przyjęcia dyrektywy w proponowanym </w:t>
      </w:r>
      <w:r>
        <w:rPr>
          <w:rFonts w:ascii="Times New Roman" w:hAnsi="Times New Roman" w:cs="Times New Roman"/>
          <w:sz w:val="24"/>
          <w:szCs w:val="24"/>
        </w:rPr>
        <w:t xml:space="preserve">przez Radę </w:t>
      </w:r>
      <w:r w:rsidRPr="00B11530">
        <w:rPr>
          <w:rFonts w:ascii="Times New Roman" w:hAnsi="Times New Roman" w:cs="Times New Roman"/>
          <w:sz w:val="24"/>
          <w:szCs w:val="24"/>
        </w:rPr>
        <w:t xml:space="preserve">brzmieniu, wydawcy </w:t>
      </w:r>
      <w:r w:rsidRPr="00B11530">
        <w:rPr>
          <w:rFonts w:ascii="Times New Roman" w:hAnsi="Times New Roman" w:cs="Times New Roman"/>
          <w:sz w:val="24"/>
          <w:szCs w:val="24"/>
        </w:rPr>
        <w:lastRenderedPageBreak/>
        <w:t>nie będą w stanie odmawiać publikowania reklam na podstawie ww. kryteriów (np. ze względu na przekonania religijne) oraz będą zmuszeni publikować stanowiska czy blogi prezentujące poglądy, których dany wydawca może nie aprobować. Ponadto wprowadzenie w życie takiej dyrektywy zobowiązałoby wydawców do udostępnienia treści online wszystkim ludziom, co oznaczałoby m.in. konieczność wprowadzenia oprogramowania umożliwiającego osobom niewidomym „czytanie” zawartości stron internetowych. Taki obowiązek wiązałby się z koniecznością poniesienia dodatkowych kosztów przez wydawców.</w:t>
      </w:r>
    </w:p>
    <w:p w:rsidR="00117BC9" w:rsidRDefault="00117BC9" w:rsidP="00117BC9">
      <w:pPr>
        <w:pStyle w:val="Akapitzlist"/>
        <w:spacing w:after="120" w:line="360" w:lineRule="auto"/>
        <w:ind w:left="0" w:firstLine="720"/>
        <w:jc w:val="both"/>
        <w:rPr>
          <w:rFonts w:ascii="Times New Roman" w:hAnsi="Times New Roman" w:cs="Times New Roman"/>
          <w:sz w:val="24"/>
          <w:szCs w:val="24"/>
        </w:rPr>
      </w:pPr>
      <w:r w:rsidRPr="00117BC9">
        <w:rPr>
          <w:rFonts w:ascii="Times New Roman" w:hAnsi="Times New Roman" w:cs="Times New Roman"/>
          <w:sz w:val="24"/>
          <w:szCs w:val="24"/>
        </w:rPr>
        <w:t>Odpowiedzialna za to zagadnienie w P</w:t>
      </w:r>
      <w:r w:rsidR="0061459D">
        <w:rPr>
          <w:rFonts w:ascii="Times New Roman" w:hAnsi="Times New Roman" w:cs="Times New Roman"/>
          <w:sz w:val="24"/>
          <w:szCs w:val="24"/>
        </w:rPr>
        <w:t xml:space="preserve">arlamencie </w:t>
      </w:r>
      <w:r w:rsidRPr="00117BC9">
        <w:rPr>
          <w:rFonts w:ascii="Times New Roman" w:hAnsi="Times New Roman" w:cs="Times New Roman"/>
          <w:sz w:val="24"/>
          <w:szCs w:val="24"/>
        </w:rPr>
        <w:t>E</w:t>
      </w:r>
      <w:r w:rsidR="0061459D">
        <w:rPr>
          <w:rFonts w:ascii="Times New Roman" w:hAnsi="Times New Roman" w:cs="Times New Roman"/>
          <w:sz w:val="24"/>
          <w:szCs w:val="24"/>
        </w:rPr>
        <w:t>uropejskim</w:t>
      </w:r>
      <w:r w:rsidRPr="00117BC9">
        <w:rPr>
          <w:rFonts w:ascii="Times New Roman" w:hAnsi="Times New Roman" w:cs="Times New Roman"/>
          <w:sz w:val="24"/>
          <w:szCs w:val="24"/>
        </w:rPr>
        <w:t xml:space="preserve"> Komisja ds. Wolności Obywatelskich, Sprawiedliwości i Spraw Wewnętrznych (LIBE) 16. marca </w:t>
      </w:r>
      <w:r>
        <w:rPr>
          <w:rFonts w:ascii="Times New Roman" w:hAnsi="Times New Roman" w:cs="Times New Roman"/>
          <w:sz w:val="24"/>
          <w:szCs w:val="24"/>
        </w:rPr>
        <w:t xml:space="preserve">b.r. </w:t>
      </w:r>
      <w:r w:rsidRPr="00117BC9">
        <w:rPr>
          <w:rFonts w:ascii="Times New Roman" w:hAnsi="Times New Roman" w:cs="Times New Roman"/>
          <w:sz w:val="24"/>
          <w:szCs w:val="24"/>
        </w:rPr>
        <w:t>przyjęła poprawkę, umożliwiającą wydawcy odmowę opublikowania reklamy osób lub instytucji, które nie podzielają wartości demokratycznych lub orientacji politycznej danego tytułu. Takie brzmienie jednak nie zmienia faktu, iż może dojść do sytuacji, w której wydawca będzie zmuszony opublikować niepożądany materiał, z innych powodów – np. wydawca magazynu o tematyce katolickiej będzie zobligowany do opublikowania ogłoszeń grup homoseksualnych czy różnego rodzaju sekt religijnych (głoszących hasła demokratyczne i podzielających pol</w:t>
      </w:r>
      <w:r w:rsidR="00BD6260">
        <w:rPr>
          <w:rFonts w:ascii="Times New Roman" w:hAnsi="Times New Roman" w:cs="Times New Roman"/>
          <w:sz w:val="24"/>
          <w:szCs w:val="24"/>
        </w:rPr>
        <w:t>ityczne poglądy danego tytułu).</w:t>
      </w:r>
    </w:p>
    <w:p w:rsidR="00117BC9" w:rsidRPr="0061459D" w:rsidRDefault="0061459D" w:rsidP="0061459D">
      <w:pPr>
        <w:pStyle w:val="Akapitzlist"/>
        <w:spacing w:after="12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Na wniosek organizacji wydawców (</w:t>
      </w:r>
      <w:r w:rsidR="00117BC9" w:rsidRPr="00117BC9">
        <w:rPr>
          <w:rFonts w:ascii="Times New Roman" w:hAnsi="Times New Roman" w:cs="Times New Roman"/>
          <w:sz w:val="24"/>
          <w:szCs w:val="24"/>
        </w:rPr>
        <w:t>ENPA i FAEP</w:t>
      </w:r>
      <w:r>
        <w:rPr>
          <w:rFonts w:ascii="Times New Roman" w:hAnsi="Times New Roman" w:cs="Times New Roman"/>
          <w:sz w:val="24"/>
          <w:szCs w:val="24"/>
        </w:rPr>
        <w:t>) Grupa</w:t>
      </w:r>
      <w:r w:rsidR="00117BC9" w:rsidRPr="00117BC9">
        <w:rPr>
          <w:rFonts w:ascii="Times New Roman" w:hAnsi="Times New Roman" w:cs="Times New Roman"/>
          <w:sz w:val="24"/>
          <w:szCs w:val="24"/>
        </w:rPr>
        <w:t xml:space="preserve"> Europejskiej Partii Ludowej (Chrześcijańskich Demokratów) i Europejskich Demokratów</w:t>
      </w:r>
      <w:r>
        <w:rPr>
          <w:rFonts w:ascii="Times New Roman" w:hAnsi="Times New Roman" w:cs="Times New Roman"/>
          <w:sz w:val="24"/>
          <w:szCs w:val="24"/>
        </w:rPr>
        <w:t xml:space="preserve"> zgłosiła poprawkę, wyłączając prasę z zakresu wspomnianej dyrektywy. </w:t>
      </w:r>
      <w:r w:rsidR="00117BC9" w:rsidRPr="0061459D">
        <w:rPr>
          <w:rFonts w:ascii="Times New Roman" w:hAnsi="Times New Roman" w:cs="Times New Roman"/>
          <w:sz w:val="24"/>
          <w:szCs w:val="24"/>
        </w:rPr>
        <w:t xml:space="preserve"> Parlament </w:t>
      </w:r>
      <w:r w:rsidRPr="0061459D">
        <w:rPr>
          <w:rFonts w:ascii="Times New Roman" w:hAnsi="Times New Roman" w:cs="Times New Roman"/>
          <w:sz w:val="24"/>
          <w:szCs w:val="24"/>
        </w:rPr>
        <w:t xml:space="preserve">Europejski </w:t>
      </w:r>
      <w:r w:rsidR="00117BC9" w:rsidRPr="0061459D">
        <w:rPr>
          <w:rFonts w:ascii="Times New Roman" w:hAnsi="Times New Roman" w:cs="Times New Roman"/>
          <w:sz w:val="24"/>
          <w:szCs w:val="24"/>
        </w:rPr>
        <w:t xml:space="preserve">przyjął </w:t>
      </w:r>
      <w:r>
        <w:rPr>
          <w:rFonts w:ascii="Times New Roman" w:hAnsi="Times New Roman" w:cs="Times New Roman"/>
          <w:sz w:val="24"/>
          <w:szCs w:val="24"/>
        </w:rPr>
        <w:t xml:space="preserve">ją </w:t>
      </w:r>
      <w:r w:rsidR="00117BC9" w:rsidRPr="0061459D">
        <w:rPr>
          <w:rFonts w:ascii="Times New Roman" w:hAnsi="Times New Roman" w:cs="Times New Roman"/>
          <w:sz w:val="24"/>
          <w:szCs w:val="24"/>
        </w:rPr>
        <w:t xml:space="preserve">2. kwietnia </w:t>
      </w:r>
      <w:r w:rsidRPr="0061459D">
        <w:rPr>
          <w:rFonts w:ascii="Times New Roman" w:hAnsi="Times New Roman" w:cs="Times New Roman"/>
          <w:sz w:val="24"/>
          <w:szCs w:val="24"/>
        </w:rPr>
        <w:t xml:space="preserve">b.r. </w:t>
      </w:r>
      <w:r w:rsidR="00117BC9" w:rsidRPr="0061459D">
        <w:rPr>
          <w:rFonts w:ascii="Times New Roman" w:hAnsi="Times New Roman" w:cs="Times New Roman"/>
          <w:sz w:val="24"/>
          <w:szCs w:val="24"/>
        </w:rPr>
        <w:t>większością głosów</w:t>
      </w:r>
      <w:r>
        <w:rPr>
          <w:rFonts w:ascii="Times New Roman" w:hAnsi="Times New Roman" w:cs="Times New Roman"/>
          <w:sz w:val="24"/>
          <w:szCs w:val="24"/>
        </w:rPr>
        <w:t xml:space="preserve">. </w:t>
      </w:r>
    </w:p>
    <w:p w:rsidR="00117BC9" w:rsidRDefault="00117BC9" w:rsidP="00843C55">
      <w:pPr>
        <w:pStyle w:val="Akapitzlist"/>
        <w:spacing w:after="120" w:line="360" w:lineRule="auto"/>
        <w:ind w:left="0" w:firstLine="720"/>
        <w:jc w:val="both"/>
        <w:rPr>
          <w:rFonts w:ascii="Times New Roman" w:hAnsi="Times New Roman" w:cs="Times New Roman"/>
          <w:sz w:val="24"/>
          <w:szCs w:val="24"/>
        </w:rPr>
      </w:pPr>
      <w:r w:rsidRPr="00117BC9">
        <w:rPr>
          <w:rFonts w:ascii="Times New Roman" w:hAnsi="Times New Roman" w:cs="Times New Roman"/>
          <w:sz w:val="24"/>
          <w:szCs w:val="24"/>
        </w:rPr>
        <w:t>Ostateczną decyzję w te</w:t>
      </w:r>
      <w:r>
        <w:rPr>
          <w:rFonts w:ascii="Times New Roman" w:hAnsi="Times New Roman" w:cs="Times New Roman"/>
          <w:sz w:val="24"/>
          <w:szCs w:val="24"/>
        </w:rPr>
        <w:t xml:space="preserve">j sprawie podejmie Rada Europy, której sprawozdanie </w:t>
      </w:r>
      <w:r w:rsidRPr="00B11530">
        <w:rPr>
          <w:rFonts w:ascii="Times New Roman" w:hAnsi="Times New Roman" w:cs="Times New Roman"/>
          <w:sz w:val="24"/>
          <w:szCs w:val="24"/>
        </w:rPr>
        <w:t xml:space="preserve">powinno zostać ogłoszone na początku czerwca. Niemcy sprzeciwiają się przyjęciu całej dyrektywy i nie </w:t>
      </w:r>
      <w:r w:rsidR="0061459D">
        <w:rPr>
          <w:rFonts w:ascii="Times New Roman" w:hAnsi="Times New Roman" w:cs="Times New Roman"/>
          <w:sz w:val="24"/>
          <w:szCs w:val="24"/>
        </w:rPr>
        <w:t xml:space="preserve">zamierzają </w:t>
      </w:r>
      <w:r w:rsidRPr="00B11530">
        <w:rPr>
          <w:rFonts w:ascii="Times New Roman" w:hAnsi="Times New Roman" w:cs="Times New Roman"/>
          <w:sz w:val="24"/>
          <w:szCs w:val="24"/>
        </w:rPr>
        <w:t>negocjować przyjęcia przegłosowanego w PE wyj</w:t>
      </w:r>
      <w:r>
        <w:rPr>
          <w:rFonts w:ascii="Times New Roman" w:hAnsi="Times New Roman" w:cs="Times New Roman"/>
          <w:sz w:val="24"/>
          <w:szCs w:val="24"/>
        </w:rPr>
        <w:t>ątku.</w:t>
      </w:r>
    </w:p>
    <w:p w:rsidR="00BD6260" w:rsidRDefault="00BD6260" w:rsidP="00BD6260">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Stanowisko:</w:t>
      </w:r>
    </w:p>
    <w:p w:rsidR="00BD6260" w:rsidRPr="00BD6260" w:rsidRDefault="00BD6260" w:rsidP="00BD6260">
      <w:pPr>
        <w:spacing w:after="120" w:line="360" w:lineRule="auto"/>
        <w:ind w:firstLine="709"/>
        <w:jc w:val="both"/>
        <w:rPr>
          <w:rFonts w:ascii="Times New Roman" w:hAnsi="Times New Roman" w:cs="Times New Roman"/>
          <w:b/>
          <w:sz w:val="24"/>
          <w:szCs w:val="24"/>
        </w:rPr>
      </w:pPr>
      <w:r w:rsidRPr="00117BC9">
        <w:rPr>
          <w:rFonts w:ascii="Times New Roman" w:hAnsi="Times New Roman" w:cs="Times New Roman"/>
          <w:sz w:val="24"/>
          <w:szCs w:val="24"/>
        </w:rPr>
        <w:t>Brak wyraźnego wyłączeni</w:t>
      </w:r>
      <w:r>
        <w:rPr>
          <w:rFonts w:ascii="Times New Roman" w:hAnsi="Times New Roman" w:cs="Times New Roman"/>
          <w:sz w:val="24"/>
          <w:szCs w:val="24"/>
        </w:rPr>
        <w:t>a mediów z zakresu ww. regulacji</w:t>
      </w:r>
      <w:r w:rsidRPr="00117BC9">
        <w:rPr>
          <w:rFonts w:ascii="Times New Roman" w:hAnsi="Times New Roman" w:cs="Times New Roman"/>
          <w:sz w:val="24"/>
          <w:szCs w:val="24"/>
        </w:rPr>
        <w:t xml:space="preserve"> stanowiłoby – naszym zdaniem – daleko idące naruszenie podstaw działalności demokratycznej prasy tzn. wolności redakcyjnej i – w związku z tym – byłoby także sprzeczne z art. 25 ust. 4 w zw. z art. 36 ust. 4 ustawy Prawo prasowe, który jest gwarantem tej wolności. Stosowanie zapisów tej – skądinąd – słusznej i godnej poparcia regulacji w odniesieniu do prasy</w:t>
      </w:r>
      <w:r>
        <w:rPr>
          <w:rFonts w:ascii="Times New Roman" w:hAnsi="Times New Roman" w:cs="Times New Roman"/>
          <w:sz w:val="24"/>
          <w:szCs w:val="24"/>
        </w:rPr>
        <w:t>,</w:t>
      </w:r>
      <w:r w:rsidRPr="00117BC9">
        <w:rPr>
          <w:rFonts w:ascii="Times New Roman" w:hAnsi="Times New Roman" w:cs="Times New Roman"/>
          <w:sz w:val="24"/>
          <w:szCs w:val="24"/>
        </w:rPr>
        <w:t xml:space="preserve"> byłoby bardzo niebezpieczne, gdyż wymagałoby nie tylko zmiany prawa prasowego, ale powodowałoby niepotrzebne angażowanie sądów w rozstrzyganie pojawiających się na tym tle sporów.</w:t>
      </w:r>
    </w:p>
    <w:p w:rsidR="00FB68C7" w:rsidRDefault="00FB68C7" w:rsidP="00FB68C7">
      <w:pPr>
        <w:pStyle w:val="Akapitzlist"/>
        <w:spacing w:after="120" w:line="360" w:lineRule="auto"/>
        <w:ind w:left="714"/>
        <w:jc w:val="both"/>
        <w:rPr>
          <w:rFonts w:ascii="Times New Roman" w:hAnsi="Times New Roman" w:cs="Times New Roman"/>
          <w:b/>
          <w:sz w:val="24"/>
          <w:szCs w:val="24"/>
        </w:rPr>
      </w:pPr>
    </w:p>
    <w:p w:rsidR="00BD6260" w:rsidRDefault="00BD6260" w:rsidP="00FB68C7">
      <w:pPr>
        <w:pStyle w:val="Akapitzlist"/>
        <w:spacing w:after="120" w:line="360" w:lineRule="auto"/>
        <w:ind w:left="714"/>
        <w:jc w:val="both"/>
        <w:rPr>
          <w:rFonts w:ascii="Times New Roman" w:hAnsi="Times New Roman" w:cs="Times New Roman"/>
          <w:b/>
          <w:sz w:val="24"/>
          <w:szCs w:val="24"/>
        </w:rPr>
      </w:pPr>
    </w:p>
    <w:p w:rsidR="00117BC9" w:rsidRDefault="00117BC9" w:rsidP="00762839">
      <w:pPr>
        <w:pStyle w:val="Akapitzlist"/>
        <w:numPr>
          <w:ilvl w:val="0"/>
          <w:numId w:val="6"/>
        </w:numPr>
        <w:spacing w:after="12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lastRenderedPageBreak/>
        <w:t>PLURALIZM MEDIÓW</w:t>
      </w:r>
    </w:p>
    <w:p w:rsidR="003B6B91" w:rsidRPr="003B6B91" w:rsidRDefault="003B6B91" w:rsidP="003B6B91">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początku 2007 roku K</w:t>
      </w:r>
      <w:r w:rsidR="00090F5D">
        <w:rPr>
          <w:rFonts w:ascii="Times New Roman" w:hAnsi="Times New Roman" w:cs="Times New Roman"/>
          <w:sz w:val="24"/>
          <w:szCs w:val="24"/>
        </w:rPr>
        <w:t xml:space="preserve">omisja </w:t>
      </w:r>
      <w:r>
        <w:rPr>
          <w:rFonts w:ascii="Times New Roman" w:hAnsi="Times New Roman" w:cs="Times New Roman"/>
          <w:sz w:val="24"/>
          <w:szCs w:val="24"/>
        </w:rPr>
        <w:t>E</w:t>
      </w:r>
      <w:r w:rsidR="00090F5D">
        <w:rPr>
          <w:rFonts w:ascii="Times New Roman" w:hAnsi="Times New Roman" w:cs="Times New Roman"/>
          <w:sz w:val="24"/>
          <w:szCs w:val="24"/>
        </w:rPr>
        <w:t>uropejska</w:t>
      </w:r>
      <w:r w:rsidRPr="003B6B91">
        <w:rPr>
          <w:rFonts w:ascii="Times New Roman" w:hAnsi="Times New Roman" w:cs="Times New Roman"/>
          <w:sz w:val="24"/>
          <w:szCs w:val="24"/>
        </w:rPr>
        <w:t xml:space="preserve"> opublikowała komunikat dot. pluralizmu mediów, zapowiadający rozpoczęcie b</w:t>
      </w:r>
      <w:r>
        <w:rPr>
          <w:rFonts w:ascii="Times New Roman" w:hAnsi="Times New Roman" w:cs="Times New Roman"/>
          <w:sz w:val="24"/>
          <w:szCs w:val="24"/>
        </w:rPr>
        <w:t>adań mających na celu stwierdzenie</w:t>
      </w:r>
      <w:r w:rsidRPr="003B6B91">
        <w:rPr>
          <w:rFonts w:ascii="Times New Roman" w:hAnsi="Times New Roman" w:cs="Times New Roman"/>
          <w:sz w:val="24"/>
          <w:szCs w:val="24"/>
        </w:rPr>
        <w:t>, czy kr</w:t>
      </w:r>
      <w:r>
        <w:rPr>
          <w:rFonts w:ascii="Times New Roman" w:hAnsi="Times New Roman" w:cs="Times New Roman"/>
          <w:sz w:val="24"/>
          <w:szCs w:val="24"/>
        </w:rPr>
        <w:t>yteria pluralizmu są spełnione.</w:t>
      </w:r>
    </w:p>
    <w:p w:rsidR="0041327D" w:rsidRDefault="003B6B91" w:rsidP="0041327D">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Temat ten </w:t>
      </w:r>
      <w:r w:rsidR="00090F5D">
        <w:rPr>
          <w:rFonts w:ascii="Times New Roman" w:hAnsi="Times New Roman" w:cs="Times New Roman"/>
          <w:sz w:val="24"/>
          <w:szCs w:val="24"/>
        </w:rPr>
        <w:t>był</w:t>
      </w:r>
      <w:r w:rsidR="00762839" w:rsidRPr="00762839">
        <w:rPr>
          <w:rFonts w:ascii="Times New Roman" w:hAnsi="Times New Roman" w:cs="Times New Roman"/>
          <w:sz w:val="24"/>
          <w:szCs w:val="24"/>
        </w:rPr>
        <w:t xml:space="preserve"> </w:t>
      </w:r>
      <w:r w:rsidR="00762839">
        <w:rPr>
          <w:rFonts w:ascii="Times New Roman" w:hAnsi="Times New Roman" w:cs="Times New Roman"/>
          <w:sz w:val="24"/>
          <w:szCs w:val="24"/>
        </w:rPr>
        <w:t xml:space="preserve">w zeszłym roku </w:t>
      </w:r>
      <w:r w:rsidR="00762839" w:rsidRPr="00762839">
        <w:rPr>
          <w:rFonts w:ascii="Times New Roman" w:hAnsi="Times New Roman" w:cs="Times New Roman"/>
          <w:sz w:val="24"/>
          <w:szCs w:val="24"/>
        </w:rPr>
        <w:t>przedm</w:t>
      </w:r>
      <w:r w:rsidR="00762839">
        <w:rPr>
          <w:rFonts w:ascii="Times New Roman" w:hAnsi="Times New Roman" w:cs="Times New Roman"/>
          <w:sz w:val="24"/>
          <w:szCs w:val="24"/>
        </w:rPr>
        <w:t xml:space="preserve">iotem kolejnej gorącej debaty w </w:t>
      </w:r>
      <w:r w:rsidR="00762839" w:rsidRPr="00762839">
        <w:rPr>
          <w:rFonts w:ascii="Times New Roman" w:hAnsi="Times New Roman" w:cs="Times New Roman"/>
          <w:sz w:val="24"/>
          <w:szCs w:val="24"/>
        </w:rPr>
        <w:t>Parlamencie Europejskim.</w:t>
      </w:r>
      <w:r>
        <w:rPr>
          <w:rFonts w:ascii="Times New Roman" w:hAnsi="Times New Roman" w:cs="Times New Roman"/>
          <w:sz w:val="24"/>
          <w:szCs w:val="24"/>
        </w:rPr>
        <w:t xml:space="preserve"> </w:t>
      </w:r>
      <w:r w:rsidR="00CF2120" w:rsidRPr="00CF2120">
        <w:rPr>
          <w:rFonts w:ascii="Times New Roman" w:hAnsi="Times New Roman" w:cs="Times New Roman"/>
          <w:sz w:val="24"/>
          <w:szCs w:val="24"/>
        </w:rPr>
        <w:t>P</w:t>
      </w:r>
      <w:r w:rsidR="00762839" w:rsidRPr="00CF2120">
        <w:rPr>
          <w:rFonts w:ascii="Times New Roman" w:hAnsi="Times New Roman" w:cs="Times New Roman"/>
          <w:sz w:val="24"/>
          <w:szCs w:val="24"/>
        </w:rPr>
        <w:t>arlamenta</w:t>
      </w:r>
      <w:r w:rsidR="00CF2120" w:rsidRPr="00CF2120">
        <w:rPr>
          <w:rFonts w:ascii="Times New Roman" w:hAnsi="Times New Roman" w:cs="Times New Roman"/>
          <w:sz w:val="24"/>
          <w:szCs w:val="24"/>
        </w:rPr>
        <w:t xml:space="preserve">rzystka z Estonii – Marianne Mikko (z </w:t>
      </w:r>
      <w:r w:rsidR="00762839" w:rsidRPr="00CF2120">
        <w:rPr>
          <w:rFonts w:ascii="Times New Roman" w:hAnsi="Times New Roman" w:cs="Times New Roman"/>
          <w:sz w:val="24"/>
          <w:szCs w:val="24"/>
        </w:rPr>
        <w:t>Grupy Parlame</w:t>
      </w:r>
      <w:r w:rsidR="00CF2120" w:rsidRPr="00CF2120">
        <w:rPr>
          <w:rFonts w:ascii="Times New Roman" w:hAnsi="Times New Roman" w:cs="Times New Roman"/>
          <w:sz w:val="24"/>
          <w:szCs w:val="24"/>
        </w:rPr>
        <w:t>n</w:t>
      </w:r>
      <w:r w:rsidR="00762839" w:rsidRPr="00CF2120">
        <w:rPr>
          <w:rFonts w:ascii="Times New Roman" w:hAnsi="Times New Roman" w:cs="Times New Roman"/>
          <w:sz w:val="24"/>
          <w:szCs w:val="24"/>
        </w:rPr>
        <w:t>tarnej Europejskich Socjalistów) – przedstawiła ra</w:t>
      </w:r>
      <w:r w:rsidR="00CF2120" w:rsidRPr="00CF2120">
        <w:rPr>
          <w:rFonts w:ascii="Times New Roman" w:hAnsi="Times New Roman" w:cs="Times New Roman"/>
          <w:sz w:val="24"/>
          <w:szCs w:val="24"/>
        </w:rPr>
        <w:t xml:space="preserve">port z </w:t>
      </w:r>
      <w:r w:rsidR="00762839" w:rsidRPr="00CF2120">
        <w:rPr>
          <w:rFonts w:ascii="Times New Roman" w:hAnsi="Times New Roman" w:cs="Times New Roman"/>
          <w:sz w:val="24"/>
          <w:szCs w:val="24"/>
        </w:rPr>
        <w:t>własnej inic</w:t>
      </w:r>
      <w:r w:rsidR="00CF2120" w:rsidRPr="00CF2120">
        <w:rPr>
          <w:rFonts w:ascii="Times New Roman" w:hAnsi="Times New Roman" w:cs="Times New Roman"/>
          <w:sz w:val="24"/>
          <w:szCs w:val="24"/>
        </w:rPr>
        <w:t xml:space="preserve">jatywy dotyczący koncentracji i </w:t>
      </w:r>
      <w:r w:rsidR="00762839" w:rsidRPr="00CF2120">
        <w:rPr>
          <w:rFonts w:ascii="Times New Roman" w:hAnsi="Times New Roman" w:cs="Times New Roman"/>
          <w:sz w:val="24"/>
          <w:szCs w:val="24"/>
        </w:rPr>
        <w:t>pluralizmu mediów</w:t>
      </w:r>
      <w:r w:rsidR="00A16F3A">
        <w:rPr>
          <w:rFonts w:ascii="Times New Roman" w:hAnsi="Times New Roman" w:cs="Times New Roman"/>
          <w:sz w:val="24"/>
          <w:szCs w:val="24"/>
        </w:rPr>
        <w:t xml:space="preserve">, w którym twierdziła, że – o ile w starych krajach </w:t>
      </w:r>
      <w:r w:rsidR="0041327D">
        <w:rPr>
          <w:rFonts w:ascii="Times New Roman" w:hAnsi="Times New Roman" w:cs="Times New Roman"/>
          <w:sz w:val="24"/>
          <w:szCs w:val="24"/>
        </w:rPr>
        <w:t>c</w:t>
      </w:r>
      <w:r w:rsidR="00A16F3A" w:rsidRPr="00A16F3A">
        <w:rPr>
          <w:rFonts w:ascii="Times New Roman" w:hAnsi="Times New Roman" w:cs="Times New Roman"/>
          <w:sz w:val="24"/>
          <w:szCs w:val="24"/>
        </w:rPr>
        <w:t>złonkowskich być może problem koncentracji mediów nie istnieje, o tyle w nowych krajach człon</w:t>
      </w:r>
      <w:r w:rsidR="00090F5D">
        <w:rPr>
          <w:rFonts w:ascii="Times New Roman" w:hAnsi="Times New Roman" w:cs="Times New Roman"/>
          <w:sz w:val="24"/>
          <w:szCs w:val="24"/>
        </w:rPr>
        <w:t xml:space="preserve">kowskich – takich, jak Estonia </w:t>
      </w:r>
      <w:r w:rsidR="00A16F3A" w:rsidRPr="00A16F3A">
        <w:rPr>
          <w:rFonts w:ascii="Times New Roman" w:hAnsi="Times New Roman" w:cs="Times New Roman"/>
          <w:sz w:val="24"/>
          <w:szCs w:val="24"/>
        </w:rPr>
        <w:t>czy np. Polska – problem ten stanowi istotne zagrożenie dla budowania się</w:t>
      </w:r>
      <w:r w:rsidR="00762839" w:rsidRPr="00A16F3A">
        <w:rPr>
          <w:rFonts w:ascii="Times New Roman" w:hAnsi="Times New Roman" w:cs="Times New Roman"/>
          <w:sz w:val="24"/>
          <w:szCs w:val="24"/>
        </w:rPr>
        <w:t xml:space="preserve"> </w:t>
      </w:r>
      <w:r w:rsidR="00A16F3A" w:rsidRPr="00A16F3A">
        <w:rPr>
          <w:rFonts w:ascii="Times New Roman" w:hAnsi="Times New Roman" w:cs="Times New Roman"/>
          <w:sz w:val="24"/>
          <w:szCs w:val="24"/>
        </w:rPr>
        <w:t>młodych demokracji.</w:t>
      </w:r>
      <w:r w:rsidR="00A16F3A" w:rsidRPr="0041327D">
        <w:rPr>
          <w:rFonts w:ascii="Times New Roman" w:hAnsi="Times New Roman" w:cs="Times New Roman"/>
          <w:sz w:val="24"/>
          <w:szCs w:val="24"/>
        </w:rPr>
        <w:t xml:space="preserve"> </w:t>
      </w:r>
      <w:r w:rsidR="0041327D" w:rsidRPr="0041327D">
        <w:rPr>
          <w:rFonts w:ascii="Times New Roman" w:hAnsi="Times New Roman" w:cs="Times New Roman"/>
          <w:sz w:val="24"/>
          <w:szCs w:val="24"/>
        </w:rPr>
        <w:t xml:space="preserve">Swoje poglądy posłanka zawarła także w przygotowanym sprawozdaniu </w:t>
      </w:r>
      <w:r w:rsidR="0041327D">
        <w:rPr>
          <w:rFonts w:ascii="TimesNewRoman" w:hAnsi="TimesNewRoman" w:cs="TimesNewRoman"/>
          <w:sz w:val="24"/>
          <w:szCs w:val="24"/>
        </w:rPr>
        <w:t>w sprawie koncentracji i pluralizmu mediów w Unii Europejskiej (2007/2253(INI))</w:t>
      </w:r>
      <w:r>
        <w:rPr>
          <w:rFonts w:ascii="Times New Roman" w:hAnsi="Times New Roman" w:cs="Times New Roman"/>
          <w:sz w:val="24"/>
          <w:szCs w:val="24"/>
        </w:rPr>
        <w:t xml:space="preserve">. W dokumencie </w:t>
      </w:r>
      <w:r w:rsidR="0041327D" w:rsidRPr="0041327D">
        <w:rPr>
          <w:rFonts w:ascii="Times New Roman" w:hAnsi="Times New Roman" w:cs="Times New Roman"/>
          <w:sz w:val="24"/>
          <w:szCs w:val="24"/>
        </w:rPr>
        <w:t>suger</w:t>
      </w:r>
      <w:r w:rsidR="00090F5D">
        <w:rPr>
          <w:rFonts w:ascii="Times New Roman" w:hAnsi="Times New Roman" w:cs="Times New Roman"/>
          <w:sz w:val="24"/>
          <w:szCs w:val="24"/>
        </w:rPr>
        <w:t>uje O</w:t>
      </w:r>
      <w:r>
        <w:rPr>
          <w:rFonts w:ascii="Times New Roman" w:hAnsi="Times New Roman" w:cs="Times New Roman"/>
          <w:sz w:val="24"/>
          <w:szCs w:val="24"/>
        </w:rPr>
        <w:t xml:space="preserve">na </w:t>
      </w:r>
      <w:r w:rsidR="0041327D" w:rsidRPr="0041327D">
        <w:rPr>
          <w:rFonts w:ascii="Times New Roman" w:hAnsi="Times New Roman" w:cs="Times New Roman"/>
          <w:sz w:val="24"/>
          <w:szCs w:val="24"/>
        </w:rPr>
        <w:t>m.in., iż możliw</w:t>
      </w:r>
      <w:r w:rsidR="00CF2120" w:rsidRPr="0041327D">
        <w:rPr>
          <w:rFonts w:ascii="Times New Roman" w:hAnsi="Times New Roman" w:cs="Times New Roman"/>
          <w:sz w:val="24"/>
          <w:szCs w:val="24"/>
        </w:rPr>
        <w:t>ości mediów w zakresie pełnienia roli strażnika demokracji mogą zostać uzyskane tylko i wyłącznie poprzez poparty prawem wpływ państwa na media</w:t>
      </w:r>
      <w:r w:rsidR="0041327D">
        <w:rPr>
          <w:rFonts w:ascii="Times New Roman" w:hAnsi="Times New Roman" w:cs="Times New Roman"/>
          <w:sz w:val="24"/>
          <w:szCs w:val="24"/>
        </w:rPr>
        <w:t xml:space="preserve"> (punkt V, paragrafy 16 i 21). </w:t>
      </w:r>
      <w:r w:rsidR="00090F5D">
        <w:rPr>
          <w:rFonts w:ascii="Times New Roman" w:hAnsi="Times New Roman" w:cs="Times New Roman"/>
          <w:sz w:val="24"/>
          <w:szCs w:val="24"/>
        </w:rPr>
        <w:t xml:space="preserve">Należy pamiętać </w:t>
      </w:r>
      <w:r w:rsidR="00CF2120" w:rsidRPr="0041327D">
        <w:rPr>
          <w:rFonts w:ascii="Times New Roman" w:hAnsi="Times New Roman" w:cs="Times New Roman"/>
          <w:sz w:val="24"/>
          <w:szCs w:val="24"/>
        </w:rPr>
        <w:t xml:space="preserve">o tym, że demokracja jest zagrożona tylko wtedy, gdy państwo ingeruje w </w:t>
      </w:r>
      <w:r w:rsidR="00090F5D">
        <w:rPr>
          <w:rFonts w:ascii="Times New Roman" w:hAnsi="Times New Roman" w:cs="Times New Roman"/>
          <w:sz w:val="24"/>
          <w:szCs w:val="24"/>
        </w:rPr>
        <w:t xml:space="preserve">treści </w:t>
      </w:r>
      <w:r w:rsidR="00CF2120" w:rsidRPr="0041327D">
        <w:rPr>
          <w:rFonts w:ascii="Times New Roman" w:hAnsi="Times New Roman" w:cs="Times New Roman"/>
          <w:sz w:val="24"/>
          <w:szCs w:val="24"/>
        </w:rPr>
        <w:t xml:space="preserve">przekazywane przez </w:t>
      </w:r>
      <w:r w:rsidR="0041327D">
        <w:rPr>
          <w:rFonts w:ascii="Times New Roman" w:hAnsi="Times New Roman" w:cs="Times New Roman"/>
          <w:sz w:val="24"/>
          <w:szCs w:val="24"/>
        </w:rPr>
        <w:t>prasę i inne media</w:t>
      </w:r>
      <w:r w:rsidR="00CF2120" w:rsidRPr="0041327D">
        <w:rPr>
          <w:rFonts w:ascii="Times New Roman" w:hAnsi="Times New Roman" w:cs="Times New Roman"/>
          <w:sz w:val="24"/>
          <w:szCs w:val="24"/>
        </w:rPr>
        <w:t>. Propozycja powołania niezależnych rzeczników praw obywatelskich ds. mediów lub też porównywalnych instytucji (paragraf 16) stanowi</w:t>
      </w:r>
      <w:r w:rsidR="00090F5D">
        <w:rPr>
          <w:rFonts w:ascii="Times New Roman" w:hAnsi="Times New Roman" w:cs="Times New Roman"/>
          <w:sz w:val="24"/>
          <w:szCs w:val="24"/>
        </w:rPr>
        <w:t>, zdaniem wydawców,</w:t>
      </w:r>
      <w:r>
        <w:rPr>
          <w:rFonts w:ascii="Times New Roman" w:hAnsi="Times New Roman" w:cs="Times New Roman"/>
          <w:sz w:val="24"/>
          <w:szCs w:val="24"/>
        </w:rPr>
        <w:t xml:space="preserve"> </w:t>
      </w:r>
      <w:r w:rsidR="00CF2120" w:rsidRPr="0041327D">
        <w:rPr>
          <w:rFonts w:ascii="Times New Roman" w:hAnsi="Times New Roman" w:cs="Times New Roman"/>
          <w:sz w:val="24"/>
          <w:szCs w:val="24"/>
        </w:rPr>
        <w:t xml:space="preserve">państwową ingerencję </w:t>
      </w:r>
      <w:r w:rsidR="00090F5D">
        <w:rPr>
          <w:rFonts w:ascii="Times New Roman" w:hAnsi="Times New Roman" w:cs="Times New Roman"/>
          <w:sz w:val="24"/>
          <w:szCs w:val="24"/>
        </w:rPr>
        <w:t>w niezależność prasy i nie może być zaakceptowana.</w:t>
      </w:r>
    </w:p>
    <w:p w:rsidR="0041327D" w:rsidRDefault="00CF2120" w:rsidP="0041327D">
      <w:pPr>
        <w:spacing w:after="120" w:line="360" w:lineRule="auto"/>
        <w:ind w:firstLine="567"/>
        <w:jc w:val="both"/>
        <w:rPr>
          <w:rFonts w:ascii="Times New Roman" w:hAnsi="Times New Roman" w:cs="Times New Roman"/>
          <w:sz w:val="24"/>
          <w:szCs w:val="24"/>
        </w:rPr>
      </w:pPr>
      <w:r w:rsidRPr="0041327D">
        <w:rPr>
          <w:rFonts w:ascii="Times New Roman" w:hAnsi="Times New Roman" w:cs="Times New Roman"/>
          <w:sz w:val="24"/>
          <w:szCs w:val="24"/>
        </w:rPr>
        <w:t>Raport zakłada</w:t>
      </w:r>
      <w:r w:rsidR="0041327D" w:rsidRPr="0041327D">
        <w:rPr>
          <w:rFonts w:ascii="Times New Roman" w:hAnsi="Times New Roman" w:cs="Times New Roman"/>
          <w:sz w:val="24"/>
          <w:szCs w:val="24"/>
        </w:rPr>
        <w:t xml:space="preserve"> ponadto</w:t>
      </w:r>
      <w:r w:rsidRPr="0041327D">
        <w:rPr>
          <w:rFonts w:ascii="Times New Roman" w:hAnsi="Times New Roman" w:cs="Times New Roman"/>
          <w:sz w:val="24"/>
          <w:szCs w:val="24"/>
        </w:rPr>
        <w:t xml:space="preserve">, że istnieje nieograniczona koncentracja własności zagrażająca pluralizmowi i różnorodności kulturowej w Europie (punkty N, P, Z, AU; paragrafy 3 i 4), a tym samym – nie zwraca uwagi na fakt, iż istnieją już, realizujące normę art. 11 Karty Praw Podstawowych UE, narodowe i europejskie regulacje dot. prawa konkurencji, które przeciwdziałają nieograniczonej koncentracji, a tym samym gwarantują istnienie pluralizmu mediów. </w:t>
      </w:r>
    </w:p>
    <w:p w:rsidR="0041327D" w:rsidRDefault="00090F5D" w:rsidP="0041327D">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Sprawozdanie Mikko nawołuje</w:t>
      </w:r>
      <w:r w:rsidR="00CF2120" w:rsidRPr="0041327D">
        <w:rPr>
          <w:rFonts w:ascii="Times New Roman" w:hAnsi="Times New Roman" w:cs="Times New Roman"/>
          <w:sz w:val="24"/>
          <w:szCs w:val="24"/>
        </w:rPr>
        <w:t xml:space="preserve"> do działań legislacyjny</w:t>
      </w:r>
      <w:r>
        <w:rPr>
          <w:rFonts w:ascii="Times New Roman" w:hAnsi="Times New Roman" w:cs="Times New Roman"/>
          <w:sz w:val="24"/>
          <w:szCs w:val="24"/>
        </w:rPr>
        <w:t>ch w zakresie pluralizmu mediów. Należy jednak</w:t>
      </w:r>
      <w:r w:rsidR="00CF2120" w:rsidRPr="0041327D">
        <w:rPr>
          <w:rFonts w:ascii="Times New Roman" w:hAnsi="Times New Roman" w:cs="Times New Roman"/>
          <w:sz w:val="24"/>
          <w:szCs w:val="24"/>
        </w:rPr>
        <w:t xml:space="preserve"> pamięta</w:t>
      </w:r>
      <w:r>
        <w:rPr>
          <w:rFonts w:ascii="Times New Roman" w:hAnsi="Times New Roman" w:cs="Times New Roman"/>
          <w:sz w:val="24"/>
          <w:szCs w:val="24"/>
        </w:rPr>
        <w:t>ć,</w:t>
      </w:r>
      <w:r w:rsidR="00CF2120" w:rsidRPr="0041327D">
        <w:rPr>
          <w:rFonts w:ascii="Times New Roman" w:hAnsi="Times New Roman" w:cs="Times New Roman"/>
          <w:sz w:val="24"/>
          <w:szCs w:val="24"/>
        </w:rPr>
        <w:t xml:space="preserve"> iż Komisja Europejska (poza regulacjami prawa konkurencji – art. 81 i 82 TWE) nie posiada kompetencji do podejmowania regulacji dotyczących różnorodności mediów. Zgodnie z art. 151 TWE, przy podejmowaniu działań z zakresie spraw związanych z kulturą</w:t>
      </w:r>
      <w:r w:rsidR="0041327D">
        <w:rPr>
          <w:rFonts w:ascii="Times New Roman" w:hAnsi="Times New Roman" w:cs="Times New Roman"/>
          <w:sz w:val="24"/>
          <w:szCs w:val="24"/>
        </w:rPr>
        <w:t>,</w:t>
      </w:r>
      <w:r w:rsidR="00CF2120" w:rsidRPr="0041327D">
        <w:rPr>
          <w:rFonts w:ascii="Times New Roman" w:hAnsi="Times New Roman" w:cs="Times New Roman"/>
          <w:sz w:val="24"/>
          <w:szCs w:val="24"/>
        </w:rPr>
        <w:t xml:space="preserve"> obowiązuje zasada subsydiarności, a prasa – poprzez rozpowszechnianie informacji relewantnych dla lokalnych i narodowych społeczności – uzyskuje status „produktów kulturowych”. Ponadto w art. 16 wspomnianej powyżej Karty Praw Podstawowych gwarantuje się wolność prowadzenia działalności gospodarczej i </w:t>
      </w:r>
      <w:r w:rsidR="00CF2120" w:rsidRPr="0041327D">
        <w:rPr>
          <w:rFonts w:ascii="Times New Roman" w:hAnsi="Times New Roman" w:cs="Times New Roman"/>
          <w:sz w:val="24"/>
          <w:szCs w:val="24"/>
        </w:rPr>
        <w:lastRenderedPageBreak/>
        <w:t>wydawcy – jako obywatele EU – powinni w równej mierze mieć możliwość skorzystania</w:t>
      </w:r>
      <w:r>
        <w:rPr>
          <w:rFonts w:ascii="Times New Roman" w:hAnsi="Times New Roman" w:cs="Times New Roman"/>
          <w:sz w:val="24"/>
          <w:szCs w:val="24"/>
        </w:rPr>
        <w:t xml:space="preserve"> z tego prawa. P</w:t>
      </w:r>
      <w:r w:rsidR="00CF2120" w:rsidRPr="0041327D">
        <w:rPr>
          <w:rFonts w:ascii="Times New Roman" w:hAnsi="Times New Roman" w:cs="Times New Roman"/>
          <w:sz w:val="24"/>
          <w:szCs w:val="24"/>
        </w:rPr>
        <w:t>owstrzymywanie wydawców przed podążaniem za dynamicznym rozwojem społeczeństwa informacyjnego poprzez ograniczanie naszego prawa do zakładania nowych przedsiębiorstw, oznacza ograniczenia dla wolności prasy. Regulacje prawa konkurencji oraz prawa handlowego są wystarczającą podstawą gwarantującą pra</w:t>
      </w:r>
      <w:r>
        <w:rPr>
          <w:rFonts w:ascii="Times New Roman" w:hAnsi="Times New Roman" w:cs="Times New Roman"/>
          <w:sz w:val="24"/>
          <w:szCs w:val="24"/>
        </w:rPr>
        <w:t>widłowość dokonywanych przez wydawców</w:t>
      </w:r>
      <w:r w:rsidR="00CF2120" w:rsidRPr="0041327D">
        <w:rPr>
          <w:rFonts w:ascii="Times New Roman" w:hAnsi="Times New Roman" w:cs="Times New Roman"/>
          <w:sz w:val="24"/>
          <w:szCs w:val="24"/>
        </w:rPr>
        <w:t xml:space="preserve"> działań zwiększających efektywność i konkurencyjność branży.</w:t>
      </w:r>
    </w:p>
    <w:p w:rsidR="0041327D" w:rsidRDefault="0041327D" w:rsidP="0041327D">
      <w:pPr>
        <w:spacing w:after="120" w:line="360" w:lineRule="auto"/>
        <w:ind w:firstLine="567"/>
        <w:jc w:val="both"/>
        <w:rPr>
          <w:rFonts w:ascii="Times New Roman" w:hAnsi="Times New Roman" w:cs="Times New Roman"/>
          <w:sz w:val="24"/>
          <w:szCs w:val="24"/>
        </w:rPr>
      </w:pPr>
      <w:r w:rsidRPr="0041327D">
        <w:rPr>
          <w:rFonts w:ascii="Times New Roman" w:hAnsi="Times New Roman" w:cs="Times New Roman"/>
          <w:sz w:val="24"/>
          <w:szCs w:val="24"/>
        </w:rPr>
        <w:t>Sprawozdanie</w:t>
      </w:r>
      <w:r>
        <w:rPr>
          <w:rFonts w:ascii="Times New Roman" w:hAnsi="Times New Roman" w:cs="Times New Roman"/>
          <w:sz w:val="24"/>
          <w:szCs w:val="24"/>
        </w:rPr>
        <w:t xml:space="preserve"> zostało przyjęte przez PE we wrześniu zeszłego roku. Dokument – mający raczej negatywny wydźwięk dla wydawców – </w:t>
      </w:r>
      <w:r w:rsidRPr="0041327D">
        <w:rPr>
          <w:rFonts w:ascii="Times New Roman" w:hAnsi="Times New Roman" w:cs="Times New Roman"/>
          <w:sz w:val="24"/>
          <w:szCs w:val="24"/>
        </w:rPr>
        <w:t>w świetle Komunikatu Komisji ww. sprawie oraz badań zmierzających do ustal</w:t>
      </w:r>
      <w:r w:rsidR="00BD6260">
        <w:rPr>
          <w:rFonts w:ascii="Times New Roman" w:hAnsi="Times New Roman" w:cs="Times New Roman"/>
          <w:sz w:val="24"/>
          <w:szCs w:val="24"/>
        </w:rPr>
        <w:t>enia kryteriów pluralizmu – zyskuje</w:t>
      </w:r>
      <w:r w:rsidRPr="0041327D">
        <w:rPr>
          <w:rFonts w:ascii="Times New Roman" w:hAnsi="Times New Roman" w:cs="Times New Roman"/>
          <w:sz w:val="24"/>
          <w:szCs w:val="24"/>
        </w:rPr>
        <w:t xml:space="preserve"> na znaczeniu</w:t>
      </w:r>
      <w:r w:rsidR="003B6B91">
        <w:rPr>
          <w:rFonts w:ascii="Times New Roman" w:hAnsi="Times New Roman" w:cs="Times New Roman"/>
          <w:sz w:val="24"/>
          <w:szCs w:val="24"/>
        </w:rPr>
        <w:t>.</w:t>
      </w:r>
    </w:p>
    <w:p w:rsidR="00CF2120" w:rsidRDefault="003B6B91" w:rsidP="009510E3">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kwietnia b.r. KE </w:t>
      </w:r>
      <w:r w:rsidR="009510E3">
        <w:rPr>
          <w:rFonts w:ascii="Times New Roman" w:hAnsi="Times New Roman" w:cs="Times New Roman"/>
          <w:sz w:val="24"/>
          <w:szCs w:val="24"/>
        </w:rPr>
        <w:t>opublikowała wstępne wyniki</w:t>
      </w:r>
      <w:r>
        <w:rPr>
          <w:rFonts w:ascii="Times New Roman" w:hAnsi="Times New Roman" w:cs="Times New Roman"/>
          <w:sz w:val="24"/>
          <w:szCs w:val="24"/>
        </w:rPr>
        <w:t xml:space="preserve"> badania nad kryteriami pluralizmu mediów </w:t>
      </w:r>
      <w:r w:rsidR="009510E3">
        <w:rPr>
          <w:rFonts w:ascii="Times New Roman" w:hAnsi="Times New Roman" w:cs="Times New Roman"/>
          <w:sz w:val="24"/>
          <w:szCs w:val="24"/>
        </w:rPr>
        <w:t>w krajach członkowskich, którego</w:t>
      </w:r>
      <w:r>
        <w:rPr>
          <w:rFonts w:ascii="Times New Roman" w:hAnsi="Times New Roman" w:cs="Times New Roman"/>
          <w:sz w:val="24"/>
          <w:szCs w:val="24"/>
        </w:rPr>
        <w:t xml:space="preserve"> przedmiotem </w:t>
      </w:r>
      <w:r w:rsidR="009510E3">
        <w:rPr>
          <w:rFonts w:ascii="Times New Roman" w:hAnsi="Times New Roman" w:cs="Times New Roman"/>
          <w:sz w:val="24"/>
          <w:szCs w:val="24"/>
        </w:rPr>
        <w:t>miało</w:t>
      </w:r>
      <w:r>
        <w:rPr>
          <w:rFonts w:ascii="Times New Roman" w:hAnsi="Times New Roman" w:cs="Times New Roman"/>
          <w:sz w:val="24"/>
          <w:szCs w:val="24"/>
        </w:rPr>
        <w:t xml:space="preserve"> być stwo</w:t>
      </w:r>
      <w:r w:rsidR="009510E3">
        <w:rPr>
          <w:rFonts w:ascii="Times New Roman" w:hAnsi="Times New Roman" w:cs="Times New Roman"/>
          <w:sz w:val="24"/>
          <w:szCs w:val="24"/>
        </w:rPr>
        <w:t>rzenie narzędzia monitorującego, które szacowałoby poziom</w:t>
      </w:r>
      <w:r>
        <w:rPr>
          <w:rFonts w:ascii="Times New Roman" w:hAnsi="Times New Roman" w:cs="Times New Roman"/>
          <w:sz w:val="24"/>
          <w:szCs w:val="24"/>
        </w:rPr>
        <w:t xml:space="preserve"> pluralizmu i identyfikowa</w:t>
      </w:r>
      <w:r w:rsidR="009510E3">
        <w:rPr>
          <w:rFonts w:ascii="Times New Roman" w:hAnsi="Times New Roman" w:cs="Times New Roman"/>
          <w:sz w:val="24"/>
          <w:szCs w:val="24"/>
        </w:rPr>
        <w:t>ło</w:t>
      </w:r>
      <w:r>
        <w:rPr>
          <w:rFonts w:ascii="Times New Roman" w:hAnsi="Times New Roman" w:cs="Times New Roman"/>
          <w:sz w:val="24"/>
          <w:szCs w:val="24"/>
        </w:rPr>
        <w:t xml:space="preserve"> potencjaln</w:t>
      </w:r>
      <w:r w:rsidR="009510E3">
        <w:rPr>
          <w:rFonts w:ascii="Times New Roman" w:hAnsi="Times New Roman" w:cs="Times New Roman"/>
          <w:sz w:val="24"/>
          <w:szCs w:val="24"/>
        </w:rPr>
        <w:t>e</w:t>
      </w:r>
      <w:r>
        <w:rPr>
          <w:rFonts w:ascii="Times New Roman" w:hAnsi="Times New Roman" w:cs="Times New Roman"/>
          <w:sz w:val="24"/>
          <w:szCs w:val="24"/>
        </w:rPr>
        <w:t xml:space="preserve"> niebezpieczeństw</w:t>
      </w:r>
      <w:r w:rsidR="009510E3">
        <w:rPr>
          <w:rFonts w:ascii="Times New Roman" w:hAnsi="Times New Roman" w:cs="Times New Roman"/>
          <w:sz w:val="24"/>
          <w:szCs w:val="24"/>
        </w:rPr>
        <w:t>a</w:t>
      </w:r>
      <w:r>
        <w:rPr>
          <w:rFonts w:ascii="Times New Roman" w:hAnsi="Times New Roman" w:cs="Times New Roman"/>
          <w:sz w:val="24"/>
          <w:szCs w:val="24"/>
        </w:rPr>
        <w:t xml:space="preserve"> wynikając</w:t>
      </w:r>
      <w:r w:rsidR="009510E3">
        <w:rPr>
          <w:rFonts w:ascii="Times New Roman" w:hAnsi="Times New Roman" w:cs="Times New Roman"/>
          <w:sz w:val="24"/>
          <w:szCs w:val="24"/>
        </w:rPr>
        <w:t>e</w:t>
      </w:r>
      <w:r>
        <w:rPr>
          <w:rFonts w:ascii="Times New Roman" w:hAnsi="Times New Roman" w:cs="Times New Roman"/>
          <w:sz w:val="24"/>
          <w:szCs w:val="24"/>
        </w:rPr>
        <w:t xml:space="preserve"> z jego ewentualnego braku.</w:t>
      </w:r>
      <w:r w:rsidR="009510E3">
        <w:rPr>
          <w:rFonts w:ascii="Times New Roman" w:hAnsi="Times New Roman" w:cs="Times New Roman"/>
          <w:sz w:val="24"/>
          <w:szCs w:val="24"/>
        </w:rPr>
        <w:t xml:space="preserve"> </w:t>
      </w:r>
      <w:r w:rsidR="00BD6260">
        <w:rPr>
          <w:rFonts w:ascii="Times New Roman" w:hAnsi="Times New Roman" w:cs="Times New Roman"/>
          <w:sz w:val="24"/>
          <w:szCs w:val="24"/>
        </w:rPr>
        <w:t>W raporcie mówi się o istnieniu czynników prawnych, ekonomicznych i demograficznych</w:t>
      </w:r>
      <w:r w:rsidR="009510E3">
        <w:rPr>
          <w:rFonts w:ascii="Times New Roman" w:hAnsi="Times New Roman" w:cs="Times New Roman"/>
          <w:sz w:val="24"/>
          <w:szCs w:val="24"/>
        </w:rPr>
        <w:t>. W najbliższym czasie odbędą się warsztaty dla wszystkich interesariuszy, w których wezmą udział przedstawiciele wydawców.</w:t>
      </w:r>
    </w:p>
    <w:p w:rsidR="00BD6260" w:rsidRDefault="00BD6260" w:rsidP="0063072C">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Stanowisko:</w:t>
      </w:r>
    </w:p>
    <w:p w:rsidR="00BD6260" w:rsidRPr="00BD6260" w:rsidRDefault="00BD6260" w:rsidP="00BD626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Przedstawione w raporcie czynniki są często </w:t>
      </w:r>
      <w:r w:rsidR="00D62F31">
        <w:rPr>
          <w:rFonts w:ascii="Times New Roman" w:hAnsi="Times New Roman" w:cs="Times New Roman"/>
          <w:sz w:val="24"/>
          <w:szCs w:val="24"/>
        </w:rPr>
        <w:t xml:space="preserve">mało precyzyjne i </w:t>
      </w:r>
      <w:r>
        <w:rPr>
          <w:rFonts w:ascii="Times New Roman" w:hAnsi="Times New Roman" w:cs="Times New Roman"/>
          <w:sz w:val="24"/>
          <w:szCs w:val="24"/>
        </w:rPr>
        <w:t>niejedno</w:t>
      </w:r>
      <w:r w:rsidR="00D62F31">
        <w:rPr>
          <w:rFonts w:ascii="Times New Roman" w:hAnsi="Times New Roman" w:cs="Times New Roman"/>
          <w:sz w:val="24"/>
          <w:szCs w:val="24"/>
        </w:rPr>
        <w:t>znaczne. Pozostawia się tym samym miejsce na interpretację, która może prowadzić do nadużyć i – zamiast prowadzić do uporządkowania – jeszcze bardziej skomplikować istniejącą sytuację. Konkurencyjność mediów, różnorodność treści i wyrażanych opinii jest – zdaniem wydawców – w sposób wystarczający zagwarantowana istniejącymi przepisami prawnymi</w:t>
      </w:r>
      <w:r w:rsidR="00D1176A">
        <w:rPr>
          <w:rFonts w:ascii="Times New Roman" w:hAnsi="Times New Roman" w:cs="Times New Roman"/>
          <w:sz w:val="24"/>
          <w:szCs w:val="24"/>
        </w:rPr>
        <w:t>.</w:t>
      </w:r>
    </w:p>
    <w:p w:rsidR="00B11530" w:rsidRDefault="00B11530" w:rsidP="00B11530">
      <w:pPr>
        <w:pStyle w:val="Akapitzlist"/>
        <w:rPr>
          <w:rFonts w:ascii="Times New Roman" w:hAnsi="Times New Roman" w:cs="Times New Roman"/>
          <w:b/>
          <w:sz w:val="24"/>
          <w:szCs w:val="24"/>
        </w:rPr>
      </w:pPr>
    </w:p>
    <w:p w:rsidR="00465857" w:rsidRDefault="00465857">
      <w:pPr>
        <w:rPr>
          <w:rFonts w:ascii="Times New Roman" w:hAnsi="Times New Roman" w:cs="Times New Roman"/>
          <w:b/>
          <w:sz w:val="32"/>
          <w:szCs w:val="24"/>
        </w:rPr>
      </w:pPr>
      <w:r>
        <w:rPr>
          <w:rFonts w:ascii="Times New Roman" w:hAnsi="Times New Roman" w:cs="Times New Roman"/>
          <w:b/>
          <w:sz w:val="32"/>
          <w:szCs w:val="24"/>
        </w:rPr>
        <w:br w:type="page"/>
      </w:r>
    </w:p>
    <w:p w:rsidR="00465857" w:rsidRDefault="00465857" w:rsidP="00F7649C">
      <w:pPr>
        <w:rPr>
          <w:rFonts w:ascii="Times New Roman" w:hAnsi="Times New Roman" w:cs="Times New Roman"/>
          <w:b/>
          <w:sz w:val="32"/>
          <w:szCs w:val="24"/>
        </w:rPr>
      </w:pPr>
      <w:r>
        <w:rPr>
          <w:rFonts w:ascii="Times New Roman" w:hAnsi="Times New Roman" w:cs="Times New Roman"/>
          <w:b/>
          <w:sz w:val="32"/>
          <w:szCs w:val="24"/>
        </w:rPr>
        <w:lastRenderedPageBreak/>
        <w:t>II. WŁASNOŚĆ INTELEKTUALNA</w:t>
      </w:r>
    </w:p>
    <w:p w:rsidR="00465857" w:rsidRDefault="00465857" w:rsidP="00F7649C">
      <w:pPr>
        <w:rPr>
          <w:rFonts w:ascii="Times New Roman" w:hAnsi="Times New Roman" w:cs="Times New Roman"/>
          <w:b/>
          <w:sz w:val="24"/>
          <w:szCs w:val="24"/>
        </w:rPr>
      </w:pPr>
    </w:p>
    <w:p w:rsidR="00465857" w:rsidRDefault="008C2C17" w:rsidP="00465857">
      <w:pPr>
        <w:rPr>
          <w:rFonts w:ascii="Times New Roman" w:hAnsi="Times New Roman" w:cs="Times New Roman"/>
          <w:b/>
          <w:sz w:val="24"/>
          <w:szCs w:val="24"/>
        </w:rPr>
      </w:pPr>
      <w:r>
        <w:rPr>
          <w:rFonts w:ascii="Times New Roman" w:hAnsi="Times New Roman" w:cs="Times New Roman"/>
          <w:b/>
          <w:sz w:val="24"/>
          <w:szCs w:val="24"/>
        </w:rPr>
        <w:t>INFOSOC DIRECTIVE</w:t>
      </w:r>
      <w:r>
        <w:rPr>
          <w:rStyle w:val="Odwoanieprzypisudolnego"/>
          <w:rFonts w:ascii="Times New Roman" w:hAnsi="Times New Roman" w:cs="Times New Roman"/>
          <w:b/>
          <w:sz w:val="24"/>
          <w:szCs w:val="24"/>
        </w:rPr>
        <w:footnoteReference w:id="3"/>
      </w:r>
      <w:r w:rsidR="00465857">
        <w:rPr>
          <w:rFonts w:ascii="Times New Roman" w:hAnsi="Times New Roman" w:cs="Times New Roman"/>
          <w:b/>
          <w:sz w:val="24"/>
          <w:szCs w:val="24"/>
        </w:rPr>
        <w:t xml:space="preserve"> + </w:t>
      </w:r>
      <w:r>
        <w:rPr>
          <w:rFonts w:ascii="Times New Roman" w:hAnsi="Times New Roman" w:cs="Times New Roman"/>
          <w:b/>
          <w:sz w:val="24"/>
          <w:szCs w:val="24"/>
        </w:rPr>
        <w:t>MEDINA REPORT</w:t>
      </w:r>
    </w:p>
    <w:p w:rsidR="0047296E" w:rsidRDefault="00B11530" w:rsidP="0047296E">
      <w:pPr>
        <w:spacing w:after="120" w:line="360" w:lineRule="auto"/>
        <w:ind w:firstLine="567"/>
        <w:jc w:val="both"/>
        <w:rPr>
          <w:rFonts w:ascii="Times New Roman" w:hAnsi="Times New Roman" w:cs="Times New Roman"/>
          <w:sz w:val="24"/>
          <w:szCs w:val="20"/>
        </w:rPr>
      </w:pPr>
      <w:r w:rsidRPr="008C2C17">
        <w:rPr>
          <w:rFonts w:ascii="Times New Roman" w:hAnsi="Times New Roman" w:cs="Times New Roman"/>
          <w:sz w:val="24"/>
          <w:szCs w:val="20"/>
        </w:rPr>
        <w:t>Ze względu na rozwój Internetu i kultury wolnego dostępu do treści (kontentu), prawo autorskie jest przez niektórych postrzegane jako bariera dla rozwoju treści zamieszczanych w sieci. Biblioteki, zarządzający wyszukiwarkami, użytkownicy Internetu (konsumenci) a także wielu eurodeputowanych chciałoby wprowadzić wiele wyjątków w zakresie obowiązywania praw autorskich. Zakładając, iż proces legislacyjny miałby zostać ponownie podjęty, to na pewno doprowadziłoby to do zmniejszenia ochrony, którą aktualnie obowiązująca dyrektywa daje posiadaczom praw.</w:t>
      </w:r>
    </w:p>
    <w:p w:rsidR="0047296E" w:rsidRDefault="008C2C17" w:rsidP="0047296E">
      <w:pPr>
        <w:spacing w:after="120" w:line="360" w:lineRule="auto"/>
        <w:ind w:firstLine="567"/>
        <w:jc w:val="both"/>
        <w:rPr>
          <w:rFonts w:ascii="Times New Roman" w:hAnsi="Times New Roman" w:cs="Times New Roman"/>
          <w:sz w:val="24"/>
          <w:szCs w:val="20"/>
        </w:rPr>
      </w:pPr>
      <w:r>
        <w:rPr>
          <w:rFonts w:ascii="Times New Roman" w:hAnsi="Times New Roman" w:cs="Times New Roman"/>
          <w:sz w:val="24"/>
          <w:szCs w:val="20"/>
        </w:rPr>
        <w:t>Komisja Europejska opublikowała Zieloną Księgę</w:t>
      </w:r>
      <w:r w:rsidR="00143DF2">
        <w:rPr>
          <w:rFonts w:ascii="Times New Roman" w:hAnsi="Times New Roman" w:cs="Times New Roman"/>
          <w:sz w:val="24"/>
          <w:szCs w:val="20"/>
        </w:rPr>
        <w:t xml:space="preserve"> pt.:</w:t>
      </w:r>
      <w:r w:rsidR="00143DF2" w:rsidRPr="00143DF2">
        <w:rPr>
          <w:rFonts w:ascii="Times New Roman" w:hAnsi="Times New Roman" w:cs="Times New Roman"/>
          <w:sz w:val="24"/>
          <w:szCs w:val="20"/>
        </w:rPr>
        <w:t xml:space="preserve"> „Prawo autorskie w gospodarce opartej na wiedzy”</w:t>
      </w:r>
      <w:r w:rsidR="00143DF2">
        <w:rPr>
          <w:rFonts w:ascii="Times New Roman" w:hAnsi="Times New Roman" w:cs="Times New Roman"/>
          <w:sz w:val="24"/>
          <w:szCs w:val="20"/>
        </w:rPr>
        <w:t xml:space="preserve">. Celem konsultacji opartej na tym dokumencie jest ustalenie, jak można rozpowszechniać wiedzę dla celów badawczych, naukowych i edukacyjnych. Księga mówi o nowelizacji Infosoc directive i wprowadzeniu 21 wyjątków od bezwzględnych praw autorskich, które mogą zostać wprowadzone przez państwa członkowskie. Pierwsza część dokumentu zawiera postanowienia generalne związane z charakterem wyjątków przewidzianych w Infosoc directive. Druga, zaś, prezentuje konkretne wyjątki, mające służyć bibliotekom, osobom niepełnosprawnym, rozpowszechnianiu utworów w celach edukacyjnych i badawczych i dotyczących treści tworzonych przez użytkowników. </w:t>
      </w:r>
      <w:r w:rsidR="004C7CC8">
        <w:rPr>
          <w:rFonts w:ascii="Times New Roman" w:hAnsi="Times New Roman" w:cs="Times New Roman"/>
          <w:sz w:val="24"/>
          <w:szCs w:val="20"/>
        </w:rPr>
        <w:t>W Polsce część z tych wyjątków wprowadzono podczas nowelizacji Ustawy o prawie autorskim i prawach pokrewnych</w:t>
      </w:r>
      <w:r w:rsidR="004C7CC8">
        <w:rPr>
          <w:rStyle w:val="Odwoanieprzypisudolnego"/>
          <w:rFonts w:ascii="Times New Roman" w:hAnsi="Times New Roman" w:cs="Times New Roman"/>
          <w:sz w:val="24"/>
          <w:szCs w:val="20"/>
        </w:rPr>
        <w:footnoteReference w:id="4"/>
      </w:r>
      <w:r w:rsidR="004C7CC8">
        <w:rPr>
          <w:rFonts w:ascii="Times New Roman" w:hAnsi="Times New Roman" w:cs="Times New Roman"/>
          <w:sz w:val="24"/>
          <w:szCs w:val="20"/>
        </w:rPr>
        <w:t xml:space="preserve"> w 2004 roku.</w:t>
      </w:r>
    </w:p>
    <w:p w:rsidR="0047296E" w:rsidRDefault="00B11530" w:rsidP="0047296E">
      <w:pPr>
        <w:spacing w:after="120" w:line="360" w:lineRule="auto"/>
        <w:ind w:firstLine="567"/>
        <w:jc w:val="both"/>
        <w:rPr>
          <w:rFonts w:ascii="Times New Roman" w:hAnsi="Times New Roman" w:cs="Times New Roman"/>
          <w:sz w:val="24"/>
          <w:szCs w:val="20"/>
        </w:rPr>
      </w:pPr>
      <w:r w:rsidRPr="008C2C17">
        <w:rPr>
          <w:rFonts w:ascii="Times New Roman" w:hAnsi="Times New Roman" w:cs="Times New Roman"/>
          <w:sz w:val="24"/>
          <w:szCs w:val="20"/>
        </w:rPr>
        <w:t>Parlament Europejski zajmuje się obecnie sprawozdaniem z własnej inicjatywy h</w:t>
      </w:r>
      <w:r w:rsidR="004C7CC8">
        <w:rPr>
          <w:rFonts w:ascii="Times New Roman" w:hAnsi="Times New Roman" w:cs="Times New Roman"/>
          <w:sz w:val="24"/>
          <w:szCs w:val="20"/>
        </w:rPr>
        <w:t>iszpańskiego posła Ortegi Mediny</w:t>
      </w:r>
      <w:r w:rsidR="00D1176A">
        <w:rPr>
          <w:rFonts w:ascii="Times New Roman" w:hAnsi="Times New Roman" w:cs="Times New Roman"/>
          <w:sz w:val="24"/>
          <w:szCs w:val="20"/>
        </w:rPr>
        <w:t xml:space="preserve"> (</w:t>
      </w:r>
      <w:r w:rsidR="00D1176A" w:rsidRPr="008C2C17">
        <w:rPr>
          <w:rFonts w:ascii="Times New Roman" w:hAnsi="Times New Roman" w:cs="Times New Roman"/>
          <w:sz w:val="24"/>
          <w:szCs w:val="20"/>
        </w:rPr>
        <w:t>„Medina Report”</w:t>
      </w:r>
      <w:r w:rsidR="00D1176A">
        <w:rPr>
          <w:rFonts w:ascii="Times New Roman" w:hAnsi="Times New Roman" w:cs="Times New Roman"/>
          <w:sz w:val="24"/>
          <w:szCs w:val="20"/>
        </w:rPr>
        <w:t>)</w:t>
      </w:r>
      <w:r w:rsidRPr="008C2C17">
        <w:rPr>
          <w:rFonts w:ascii="Times New Roman" w:hAnsi="Times New Roman" w:cs="Times New Roman"/>
          <w:sz w:val="24"/>
          <w:szCs w:val="20"/>
        </w:rPr>
        <w:t xml:space="preserve">. O ile inicjatywa ta nie niesie ze sobą bezpośredniego prawnego zagrożenia, wydawcy </w:t>
      </w:r>
      <w:r w:rsidR="00622F08">
        <w:rPr>
          <w:rFonts w:ascii="Times New Roman" w:hAnsi="Times New Roman" w:cs="Times New Roman"/>
          <w:sz w:val="24"/>
          <w:szCs w:val="20"/>
        </w:rPr>
        <w:t>są zdania</w:t>
      </w:r>
      <w:r w:rsidRPr="008C2C17">
        <w:rPr>
          <w:rFonts w:ascii="Times New Roman" w:hAnsi="Times New Roman" w:cs="Times New Roman"/>
          <w:sz w:val="24"/>
          <w:szCs w:val="20"/>
        </w:rPr>
        <w:t xml:space="preserve">, </w:t>
      </w:r>
      <w:r w:rsidR="00622F08">
        <w:rPr>
          <w:rFonts w:ascii="Times New Roman" w:hAnsi="Times New Roman" w:cs="Times New Roman"/>
          <w:sz w:val="24"/>
          <w:szCs w:val="20"/>
        </w:rPr>
        <w:t>że</w:t>
      </w:r>
      <w:r w:rsidRPr="008C2C17">
        <w:rPr>
          <w:rFonts w:ascii="Times New Roman" w:hAnsi="Times New Roman" w:cs="Times New Roman"/>
          <w:sz w:val="24"/>
          <w:szCs w:val="20"/>
        </w:rPr>
        <w:t xml:space="preserve"> Parlament </w:t>
      </w:r>
      <w:r w:rsidR="00622F08">
        <w:rPr>
          <w:rFonts w:ascii="Times New Roman" w:hAnsi="Times New Roman" w:cs="Times New Roman"/>
          <w:sz w:val="24"/>
          <w:szCs w:val="20"/>
        </w:rPr>
        <w:t xml:space="preserve">powinien skierować wniosek </w:t>
      </w:r>
      <w:r w:rsidRPr="008C2C17">
        <w:rPr>
          <w:rFonts w:ascii="Times New Roman" w:hAnsi="Times New Roman" w:cs="Times New Roman"/>
          <w:sz w:val="24"/>
          <w:szCs w:val="20"/>
        </w:rPr>
        <w:t>do</w:t>
      </w:r>
      <w:r w:rsidRPr="004C7CC8">
        <w:rPr>
          <w:rFonts w:ascii="Times New Roman" w:hAnsi="Times New Roman" w:cs="Times New Roman"/>
          <w:sz w:val="24"/>
          <w:szCs w:val="20"/>
        </w:rPr>
        <w:t xml:space="preserve"> Komisji</w:t>
      </w:r>
      <w:r w:rsidR="004C7CC8" w:rsidRPr="004C7CC8">
        <w:rPr>
          <w:rFonts w:ascii="Times New Roman" w:hAnsi="Times New Roman" w:cs="Times New Roman"/>
          <w:sz w:val="24"/>
          <w:szCs w:val="20"/>
        </w:rPr>
        <w:t xml:space="preserve"> Europejskiej</w:t>
      </w:r>
      <w:r w:rsidR="00622F08">
        <w:rPr>
          <w:rFonts w:ascii="Times New Roman" w:hAnsi="Times New Roman" w:cs="Times New Roman"/>
          <w:sz w:val="24"/>
          <w:szCs w:val="20"/>
        </w:rPr>
        <w:t xml:space="preserve"> o utrzymanie </w:t>
      </w:r>
      <w:r w:rsidRPr="004C7CC8">
        <w:rPr>
          <w:rFonts w:ascii="Times New Roman" w:hAnsi="Times New Roman" w:cs="Times New Roman"/>
          <w:sz w:val="24"/>
          <w:szCs w:val="20"/>
        </w:rPr>
        <w:t xml:space="preserve">aktualnie obowiązującej dyrektywy. Sprawozdanie Parlamentu mogłoby, bowiem, zawierać odniesienie do Zielonej Księgi, w której </w:t>
      </w:r>
      <w:r w:rsidR="004C7CC8">
        <w:rPr>
          <w:rFonts w:ascii="Times New Roman" w:hAnsi="Times New Roman" w:cs="Times New Roman"/>
          <w:sz w:val="24"/>
          <w:szCs w:val="20"/>
        </w:rPr>
        <w:t>– jak już zauważono powyżej – m</w:t>
      </w:r>
      <w:r w:rsidRPr="004C7CC8">
        <w:rPr>
          <w:rFonts w:ascii="Times New Roman" w:hAnsi="Times New Roman" w:cs="Times New Roman"/>
          <w:sz w:val="24"/>
          <w:szCs w:val="20"/>
        </w:rPr>
        <w:t>ówi się o</w:t>
      </w:r>
      <w:r w:rsidR="004C7CC8">
        <w:rPr>
          <w:rFonts w:ascii="Times New Roman" w:hAnsi="Times New Roman" w:cs="Times New Roman"/>
          <w:sz w:val="24"/>
          <w:szCs w:val="20"/>
        </w:rPr>
        <w:t xml:space="preserve"> możliwości wprowadzenia przez kraje c</w:t>
      </w:r>
      <w:r w:rsidRPr="004C7CC8">
        <w:rPr>
          <w:rFonts w:ascii="Times New Roman" w:hAnsi="Times New Roman" w:cs="Times New Roman"/>
          <w:sz w:val="24"/>
          <w:szCs w:val="20"/>
        </w:rPr>
        <w:t xml:space="preserve">złonkowskie </w:t>
      </w:r>
      <w:r w:rsidR="004C7CC8">
        <w:rPr>
          <w:rFonts w:ascii="Times New Roman" w:hAnsi="Times New Roman" w:cs="Times New Roman"/>
          <w:sz w:val="24"/>
          <w:szCs w:val="20"/>
        </w:rPr>
        <w:t>dalszych wyjątków od praw autorskich.</w:t>
      </w:r>
    </w:p>
    <w:p w:rsidR="00622F08" w:rsidRPr="00CC7B57" w:rsidRDefault="00622F08" w:rsidP="0047296E">
      <w:pPr>
        <w:spacing w:after="120" w:line="360" w:lineRule="auto"/>
        <w:ind w:firstLine="567"/>
        <w:jc w:val="both"/>
        <w:rPr>
          <w:rFonts w:ascii="Times New Roman" w:hAnsi="Times New Roman" w:cs="Times New Roman"/>
          <w:sz w:val="24"/>
          <w:szCs w:val="20"/>
        </w:rPr>
      </w:pPr>
      <w:r>
        <w:rPr>
          <w:rFonts w:ascii="Times New Roman" w:hAnsi="Times New Roman" w:cs="Times New Roman"/>
          <w:sz w:val="24"/>
          <w:szCs w:val="20"/>
        </w:rPr>
        <w:lastRenderedPageBreak/>
        <w:t>W wyniku</w:t>
      </w:r>
      <w:r w:rsidR="00B11530" w:rsidRPr="004C7CC8">
        <w:rPr>
          <w:rFonts w:ascii="Times New Roman" w:hAnsi="Times New Roman" w:cs="Times New Roman"/>
          <w:sz w:val="24"/>
          <w:szCs w:val="20"/>
        </w:rPr>
        <w:t xml:space="preserve"> </w:t>
      </w:r>
      <w:r w:rsidR="004C7CC8" w:rsidRPr="004C7CC8">
        <w:rPr>
          <w:rFonts w:ascii="Times New Roman" w:hAnsi="Times New Roman" w:cs="Times New Roman"/>
          <w:sz w:val="24"/>
          <w:szCs w:val="20"/>
        </w:rPr>
        <w:t xml:space="preserve">toczącej się w grudniu zeszłego roku </w:t>
      </w:r>
      <w:r w:rsidR="00B11530" w:rsidRPr="004C7CC8">
        <w:rPr>
          <w:rFonts w:ascii="Times New Roman" w:hAnsi="Times New Roman" w:cs="Times New Roman"/>
          <w:sz w:val="24"/>
          <w:szCs w:val="20"/>
        </w:rPr>
        <w:t>dyskusji nad sprawozdaniem</w:t>
      </w:r>
      <w:r>
        <w:rPr>
          <w:rFonts w:ascii="Times New Roman" w:hAnsi="Times New Roman" w:cs="Times New Roman"/>
          <w:sz w:val="24"/>
          <w:szCs w:val="20"/>
        </w:rPr>
        <w:t>,</w:t>
      </w:r>
      <w:r w:rsidR="00B11530" w:rsidRPr="004C7CC8">
        <w:rPr>
          <w:rFonts w:ascii="Times New Roman" w:hAnsi="Times New Roman" w:cs="Times New Roman"/>
          <w:sz w:val="24"/>
          <w:szCs w:val="20"/>
        </w:rPr>
        <w:t xml:space="preserve"> zgłoszono do niego 25 poprawek. Z proponowanych zmian wynikało, iż – generalnie – jest zgoda co do „nieotwierania” dyrektywy (czyli rozpoczynania procesu legislacyjnego w celu dokonania zmian), a także co do konieczności zapewniania ogólnej ochrony praw autorskich. </w:t>
      </w:r>
      <w:r w:rsidRPr="00CC7B57">
        <w:rPr>
          <w:rFonts w:ascii="Times New Roman" w:hAnsi="Times New Roman" w:cs="Times New Roman"/>
          <w:sz w:val="24"/>
          <w:szCs w:val="20"/>
        </w:rPr>
        <w:t>W</w:t>
      </w:r>
      <w:r w:rsidR="00B11530" w:rsidRPr="00CC7B57">
        <w:rPr>
          <w:rFonts w:ascii="Times New Roman" w:hAnsi="Times New Roman" w:cs="Times New Roman"/>
          <w:sz w:val="24"/>
          <w:szCs w:val="20"/>
        </w:rPr>
        <w:t xml:space="preserve"> projekcie sprawozdania pozostało odniesienie do umownych relacji pomiędzy wydawcami i dziennikarzami (pkt 30, który brzmi: Parlament Europejski (…) „uważa, że ważne jest, aby zagwarantować przestrzeganie niemajątkowych praw autorskich i wyraża zaniepokojenie rozpowszechnieniem umów o pracę („work for hire”) przewidujących obowiązkową cesję praw autorskich i naruszających prawo do autorstwa oraz do poszanowania utworu”)</w:t>
      </w:r>
      <w:r w:rsidRPr="00CC7B57">
        <w:rPr>
          <w:rFonts w:ascii="Times New Roman" w:hAnsi="Times New Roman" w:cs="Times New Roman"/>
          <w:sz w:val="24"/>
          <w:szCs w:val="20"/>
        </w:rPr>
        <w:t>. Z punktu widzenia stanu mediów w warunkach obecnego kryzysu, efektywności biznesowej związanej z efektywnym zarządzaniem prawami autorskimi oraz wchodzeniem w nowe cyfrowe pole działalności wydawców, odniesienie to jest niekorzystne dla wydawców. Przyjęcie takiego stanowiska wzmocni Internet kosztem prasy drukowanej, zwiększy koncentrację i osłabi pluralizm w prasie.</w:t>
      </w:r>
    </w:p>
    <w:p w:rsidR="0047296E" w:rsidRDefault="00B11530" w:rsidP="0047296E">
      <w:pPr>
        <w:spacing w:after="120" w:line="360" w:lineRule="auto"/>
        <w:ind w:firstLine="567"/>
        <w:jc w:val="both"/>
        <w:rPr>
          <w:rFonts w:ascii="Times New Roman" w:hAnsi="Times New Roman" w:cs="Times New Roman"/>
          <w:sz w:val="24"/>
          <w:szCs w:val="20"/>
        </w:rPr>
      </w:pPr>
      <w:r w:rsidRPr="0047296E">
        <w:rPr>
          <w:rFonts w:ascii="Times New Roman" w:hAnsi="Times New Roman" w:cs="Times New Roman"/>
          <w:sz w:val="24"/>
          <w:szCs w:val="20"/>
        </w:rPr>
        <w:t xml:space="preserve">20. stycznia </w:t>
      </w:r>
      <w:r w:rsidR="0047296E">
        <w:rPr>
          <w:rFonts w:ascii="Times New Roman" w:hAnsi="Times New Roman" w:cs="Times New Roman"/>
          <w:sz w:val="24"/>
          <w:szCs w:val="20"/>
        </w:rPr>
        <w:t xml:space="preserve">b.r. </w:t>
      </w:r>
      <w:r w:rsidRPr="0047296E">
        <w:rPr>
          <w:rFonts w:ascii="Times New Roman" w:hAnsi="Times New Roman" w:cs="Times New Roman"/>
          <w:sz w:val="24"/>
          <w:szCs w:val="20"/>
        </w:rPr>
        <w:t>Komisja do Spraw</w:t>
      </w:r>
      <w:r w:rsidR="004C7CC8" w:rsidRPr="0047296E">
        <w:rPr>
          <w:rFonts w:ascii="Times New Roman" w:hAnsi="Times New Roman" w:cs="Times New Roman"/>
          <w:sz w:val="24"/>
          <w:szCs w:val="20"/>
        </w:rPr>
        <w:t xml:space="preserve"> Prawnych </w:t>
      </w:r>
      <w:r w:rsidR="0047296E">
        <w:rPr>
          <w:rFonts w:ascii="Times New Roman" w:hAnsi="Times New Roman" w:cs="Times New Roman"/>
          <w:sz w:val="24"/>
          <w:szCs w:val="20"/>
        </w:rPr>
        <w:t xml:space="preserve">PE </w:t>
      </w:r>
      <w:r w:rsidR="004C7CC8" w:rsidRPr="0047296E">
        <w:rPr>
          <w:rFonts w:ascii="Times New Roman" w:hAnsi="Times New Roman" w:cs="Times New Roman"/>
          <w:sz w:val="24"/>
          <w:szCs w:val="20"/>
        </w:rPr>
        <w:t>przyjęła sprawozdanie</w:t>
      </w:r>
      <w:r w:rsidR="00622F08">
        <w:rPr>
          <w:rFonts w:ascii="Times New Roman" w:hAnsi="Times New Roman" w:cs="Times New Roman"/>
          <w:sz w:val="24"/>
          <w:szCs w:val="20"/>
        </w:rPr>
        <w:t>. Komisja poparła jednocześnie</w:t>
      </w:r>
      <w:r w:rsidRPr="0047296E">
        <w:rPr>
          <w:rFonts w:ascii="Times New Roman" w:hAnsi="Times New Roman" w:cs="Times New Roman"/>
          <w:sz w:val="24"/>
          <w:szCs w:val="20"/>
        </w:rPr>
        <w:t xml:space="preserve"> stanowisko, iż nie należy dokonywać rewizji dyrektyw</w:t>
      </w:r>
      <w:r w:rsidR="00622F08">
        <w:rPr>
          <w:rFonts w:ascii="Times New Roman" w:hAnsi="Times New Roman" w:cs="Times New Roman"/>
          <w:sz w:val="24"/>
          <w:szCs w:val="20"/>
        </w:rPr>
        <w:t>y a także wyraźnie przeciwstawiła</w:t>
      </w:r>
      <w:r w:rsidRPr="0047296E">
        <w:rPr>
          <w:rFonts w:ascii="Times New Roman" w:hAnsi="Times New Roman" w:cs="Times New Roman"/>
          <w:sz w:val="24"/>
          <w:szCs w:val="20"/>
        </w:rPr>
        <w:t xml:space="preserve"> się opinii Komisji ds. Przemysłu, Badań Naukowych i Energii </w:t>
      </w:r>
      <w:r w:rsidR="0047296E">
        <w:rPr>
          <w:rFonts w:ascii="Times New Roman" w:hAnsi="Times New Roman" w:cs="Times New Roman"/>
          <w:sz w:val="24"/>
          <w:szCs w:val="20"/>
        </w:rPr>
        <w:t xml:space="preserve">PE </w:t>
      </w:r>
      <w:r w:rsidRPr="0047296E">
        <w:rPr>
          <w:rFonts w:ascii="Times New Roman" w:hAnsi="Times New Roman" w:cs="Times New Roman"/>
          <w:sz w:val="24"/>
          <w:szCs w:val="20"/>
        </w:rPr>
        <w:t xml:space="preserve">(ITRE), </w:t>
      </w:r>
      <w:r w:rsidR="00622F08">
        <w:rPr>
          <w:rFonts w:ascii="Times New Roman" w:hAnsi="Times New Roman" w:cs="Times New Roman"/>
          <w:sz w:val="24"/>
          <w:szCs w:val="20"/>
        </w:rPr>
        <w:t xml:space="preserve">w zakresie </w:t>
      </w:r>
      <w:r w:rsidRPr="0047296E">
        <w:rPr>
          <w:rFonts w:ascii="Times New Roman" w:hAnsi="Times New Roman" w:cs="Times New Roman"/>
          <w:sz w:val="24"/>
          <w:szCs w:val="20"/>
        </w:rPr>
        <w:t>wprowadzeni</w:t>
      </w:r>
      <w:r w:rsidR="00622F08">
        <w:rPr>
          <w:rFonts w:ascii="Times New Roman" w:hAnsi="Times New Roman" w:cs="Times New Roman"/>
          <w:sz w:val="24"/>
          <w:szCs w:val="20"/>
        </w:rPr>
        <w:t>a</w:t>
      </w:r>
      <w:r w:rsidRPr="0047296E">
        <w:rPr>
          <w:rFonts w:ascii="Times New Roman" w:hAnsi="Times New Roman" w:cs="Times New Roman"/>
          <w:sz w:val="24"/>
          <w:szCs w:val="20"/>
        </w:rPr>
        <w:t xml:space="preserve"> większej harmonizacji praw autorskich. Odrzucono także wszelkie poprawki odnoszące się do zmiany systemu opłat od czystych nośników i urządzeń. W zamian za to, odwołano się do prac grupy roboczej, starającej się obecnie rekoncyliować poglądy posiadaczy praw i przemysłu produkującego sprzęt umożliwiający kopiowanie (także nośniki cyfrowe, etc.). Komisja dodała także kilka nowych, pozytywnych – z punktu widzenia wydawców – elementów. M.in. nawołuje się do zachowania spójności na poziomie Komisji Europejskiej podczas prac </w:t>
      </w:r>
      <w:r w:rsidR="004C7CC8" w:rsidRPr="0047296E">
        <w:rPr>
          <w:rFonts w:ascii="Times New Roman" w:hAnsi="Times New Roman" w:cs="Times New Roman"/>
          <w:sz w:val="24"/>
          <w:szCs w:val="20"/>
        </w:rPr>
        <w:t>z</w:t>
      </w:r>
      <w:r w:rsidRPr="0047296E">
        <w:rPr>
          <w:rFonts w:ascii="Times New Roman" w:hAnsi="Times New Roman" w:cs="Times New Roman"/>
          <w:sz w:val="24"/>
          <w:szCs w:val="20"/>
        </w:rPr>
        <w:t>wiązanych z prawami autorskimi, wnosząc, by w przyszłości wszelkie inicjatywy pochodziły tylko i wyłącznie od jednej Dyrekcji G</w:t>
      </w:r>
      <w:r w:rsidR="003826DD">
        <w:rPr>
          <w:rFonts w:ascii="Times New Roman" w:hAnsi="Times New Roman" w:cs="Times New Roman"/>
          <w:sz w:val="24"/>
          <w:szCs w:val="20"/>
        </w:rPr>
        <w:t>eneralnej. W sprawozdaniu podkreśla się</w:t>
      </w:r>
      <w:r w:rsidRPr="0047296E">
        <w:rPr>
          <w:rFonts w:ascii="Times New Roman" w:hAnsi="Times New Roman" w:cs="Times New Roman"/>
          <w:sz w:val="24"/>
          <w:szCs w:val="20"/>
        </w:rPr>
        <w:t xml:space="preserve">, iż dostęp online do utworów powinien być udzielany tylko w zgodzie i poszanowaniu praw autorskich, tak jak ma to miejsce </w:t>
      </w:r>
      <w:r w:rsidR="003826DD">
        <w:rPr>
          <w:rFonts w:ascii="Times New Roman" w:hAnsi="Times New Roman" w:cs="Times New Roman"/>
          <w:sz w:val="24"/>
          <w:szCs w:val="20"/>
        </w:rPr>
        <w:t>w przypadku Europeany (Europejska Biblioteka Cyfrowa</w:t>
      </w:r>
      <w:r w:rsidRPr="0047296E">
        <w:rPr>
          <w:rFonts w:ascii="Times New Roman" w:hAnsi="Times New Roman" w:cs="Times New Roman"/>
          <w:sz w:val="24"/>
          <w:szCs w:val="20"/>
        </w:rPr>
        <w:t xml:space="preserve">). </w:t>
      </w:r>
      <w:r w:rsidR="003826DD">
        <w:rPr>
          <w:rFonts w:ascii="Times New Roman" w:hAnsi="Times New Roman" w:cs="Times New Roman"/>
          <w:sz w:val="24"/>
          <w:szCs w:val="20"/>
        </w:rPr>
        <w:t xml:space="preserve">Ma to szczególne znaczenie dla ochrony kontentu redakcyjnego oraz rozwoju stron internetowych wydawców. </w:t>
      </w:r>
      <w:r w:rsidRPr="0047296E">
        <w:rPr>
          <w:rFonts w:ascii="Times New Roman" w:hAnsi="Times New Roman" w:cs="Times New Roman"/>
          <w:sz w:val="24"/>
          <w:szCs w:val="20"/>
        </w:rPr>
        <w:t xml:space="preserve">Dokument podkreśla ponadto rolę, jaką odgrywają wydawcy w procesie oceniania i zatwierdzania wyników badań uniwersyteckich (poprzez ich publikowanie). </w:t>
      </w:r>
    </w:p>
    <w:p w:rsidR="00B11530" w:rsidRDefault="004C7CC8" w:rsidP="0047296E">
      <w:pPr>
        <w:spacing w:after="120" w:line="360" w:lineRule="auto"/>
        <w:ind w:firstLine="567"/>
        <w:jc w:val="both"/>
        <w:rPr>
          <w:rFonts w:ascii="Times New Roman" w:hAnsi="Times New Roman" w:cs="Times New Roman"/>
          <w:sz w:val="24"/>
          <w:szCs w:val="20"/>
        </w:rPr>
      </w:pPr>
      <w:r w:rsidRPr="0047296E">
        <w:rPr>
          <w:rFonts w:ascii="Times New Roman" w:hAnsi="Times New Roman" w:cs="Times New Roman"/>
          <w:sz w:val="24"/>
          <w:szCs w:val="20"/>
        </w:rPr>
        <w:t>W Parlamencie</w:t>
      </w:r>
      <w:r w:rsidR="00B11530" w:rsidRPr="0047296E">
        <w:rPr>
          <w:rFonts w:ascii="Times New Roman" w:hAnsi="Times New Roman" w:cs="Times New Roman"/>
          <w:sz w:val="24"/>
          <w:szCs w:val="20"/>
        </w:rPr>
        <w:t xml:space="preserve"> Europejski</w:t>
      </w:r>
      <w:r w:rsidRPr="0047296E">
        <w:rPr>
          <w:rFonts w:ascii="Times New Roman" w:hAnsi="Times New Roman" w:cs="Times New Roman"/>
          <w:sz w:val="24"/>
          <w:szCs w:val="20"/>
        </w:rPr>
        <w:t>m</w:t>
      </w:r>
      <w:r w:rsidR="00B11530" w:rsidRPr="0047296E">
        <w:rPr>
          <w:rFonts w:ascii="Times New Roman" w:hAnsi="Times New Roman" w:cs="Times New Roman"/>
          <w:sz w:val="24"/>
          <w:szCs w:val="20"/>
        </w:rPr>
        <w:t xml:space="preserve"> istnieje silna grupa, której nie podoba się </w:t>
      </w:r>
      <w:r w:rsidRPr="0047296E">
        <w:rPr>
          <w:rFonts w:ascii="Times New Roman" w:hAnsi="Times New Roman" w:cs="Times New Roman"/>
          <w:sz w:val="24"/>
          <w:szCs w:val="20"/>
        </w:rPr>
        <w:t>taka wersja sprawozdania</w:t>
      </w:r>
      <w:r w:rsidR="00B11530" w:rsidRPr="0047296E">
        <w:rPr>
          <w:rFonts w:ascii="Times New Roman" w:hAnsi="Times New Roman" w:cs="Times New Roman"/>
          <w:sz w:val="24"/>
          <w:szCs w:val="20"/>
        </w:rPr>
        <w:t xml:space="preserve"> (</w:t>
      </w:r>
      <w:r w:rsidRPr="0047296E">
        <w:rPr>
          <w:rFonts w:ascii="Times New Roman" w:hAnsi="Times New Roman" w:cs="Times New Roman"/>
          <w:sz w:val="24"/>
          <w:szCs w:val="20"/>
        </w:rPr>
        <w:t xml:space="preserve">należą do niej </w:t>
      </w:r>
      <w:r w:rsidR="00B11530" w:rsidRPr="0047296E">
        <w:rPr>
          <w:rFonts w:ascii="Times New Roman" w:hAnsi="Times New Roman" w:cs="Times New Roman"/>
          <w:sz w:val="24"/>
          <w:szCs w:val="20"/>
        </w:rPr>
        <w:t xml:space="preserve">m.in. przedstawiciele „Zielonych”). Związane jest to z faktem, </w:t>
      </w:r>
      <w:r w:rsidR="00B11530" w:rsidRPr="0047296E">
        <w:rPr>
          <w:rFonts w:ascii="Times New Roman" w:hAnsi="Times New Roman" w:cs="Times New Roman"/>
          <w:sz w:val="24"/>
          <w:szCs w:val="20"/>
        </w:rPr>
        <w:lastRenderedPageBreak/>
        <w:t xml:space="preserve">iż pomimo składanych wcześniej uwag </w:t>
      </w:r>
      <w:r w:rsidRPr="0047296E">
        <w:rPr>
          <w:rFonts w:ascii="Times New Roman" w:hAnsi="Times New Roman" w:cs="Times New Roman"/>
          <w:sz w:val="24"/>
          <w:szCs w:val="20"/>
        </w:rPr>
        <w:t xml:space="preserve">kierowanych do </w:t>
      </w:r>
      <w:r w:rsidR="00B11530" w:rsidRPr="0047296E">
        <w:rPr>
          <w:rFonts w:ascii="Times New Roman" w:hAnsi="Times New Roman" w:cs="Times New Roman"/>
          <w:sz w:val="24"/>
          <w:szCs w:val="20"/>
        </w:rPr>
        <w:t>sprawozdawcy, zawarł on w dokumencie wiele postanowień dotyczących piractwa, co zdaniem niektórych posłów nie powi</w:t>
      </w:r>
      <w:r w:rsidRPr="0047296E">
        <w:rPr>
          <w:rFonts w:ascii="Times New Roman" w:hAnsi="Times New Roman" w:cs="Times New Roman"/>
          <w:sz w:val="24"/>
          <w:szCs w:val="20"/>
        </w:rPr>
        <w:t>nno znaleźć się w dokumencie (m</w:t>
      </w:r>
      <w:r w:rsidR="00B11530" w:rsidRPr="0047296E">
        <w:rPr>
          <w:rFonts w:ascii="Times New Roman" w:hAnsi="Times New Roman" w:cs="Times New Roman"/>
          <w:sz w:val="24"/>
          <w:szCs w:val="20"/>
        </w:rPr>
        <w:t>i</w:t>
      </w:r>
      <w:r w:rsidRPr="0047296E">
        <w:rPr>
          <w:rFonts w:ascii="Times New Roman" w:hAnsi="Times New Roman" w:cs="Times New Roman"/>
          <w:sz w:val="24"/>
          <w:szCs w:val="20"/>
        </w:rPr>
        <w:t>a</w:t>
      </w:r>
      <w:r w:rsidR="00B11530" w:rsidRPr="0047296E">
        <w:rPr>
          <w:rFonts w:ascii="Times New Roman" w:hAnsi="Times New Roman" w:cs="Times New Roman"/>
          <w:sz w:val="24"/>
          <w:szCs w:val="20"/>
        </w:rPr>
        <w:t xml:space="preserve">ło być bowiem przedmiotem dyskusji toczących się nad tzw. „pakietem telekomunikacyjnym”). </w:t>
      </w:r>
      <w:r w:rsidRPr="0047296E">
        <w:rPr>
          <w:rFonts w:ascii="Times New Roman" w:hAnsi="Times New Roman" w:cs="Times New Roman"/>
          <w:sz w:val="24"/>
          <w:szCs w:val="20"/>
        </w:rPr>
        <w:t xml:space="preserve">W związku z tym, PE postanowił odroczyć głosowanie nad sprawozdaniem </w:t>
      </w:r>
      <w:r w:rsidR="00B11530" w:rsidRPr="0047296E">
        <w:rPr>
          <w:rFonts w:ascii="Times New Roman" w:hAnsi="Times New Roman" w:cs="Times New Roman"/>
          <w:sz w:val="24"/>
          <w:szCs w:val="20"/>
        </w:rPr>
        <w:t>do następnej kadencji.</w:t>
      </w:r>
    </w:p>
    <w:p w:rsidR="003826DD" w:rsidRPr="003826DD" w:rsidRDefault="003826DD" w:rsidP="0063072C">
      <w:pPr>
        <w:spacing w:before="240" w:after="120" w:line="360" w:lineRule="auto"/>
        <w:jc w:val="both"/>
        <w:rPr>
          <w:rFonts w:ascii="Times New Roman" w:hAnsi="Times New Roman" w:cs="Times New Roman"/>
          <w:b/>
          <w:sz w:val="24"/>
          <w:szCs w:val="20"/>
        </w:rPr>
      </w:pPr>
      <w:r>
        <w:rPr>
          <w:rFonts w:ascii="Times New Roman" w:hAnsi="Times New Roman" w:cs="Times New Roman"/>
          <w:b/>
          <w:sz w:val="24"/>
          <w:szCs w:val="20"/>
        </w:rPr>
        <w:t>Stanowisko:</w:t>
      </w:r>
    </w:p>
    <w:p w:rsidR="00B11530" w:rsidRPr="0047296E" w:rsidRDefault="003826DD" w:rsidP="0047296E">
      <w:pPr>
        <w:spacing w:after="120" w:line="360" w:lineRule="auto"/>
        <w:ind w:firstLine="567"/>
        <w:jc w:val="both"/>
        <w:rPr>
          <w:rFonts w:ascii="Times New Roman" w:hAnsi="Times New Roman" w:cs="Times New Roman"/>
          <w:sz w:val="24"/>
          <w:szCs w:val="20"/>
        </w:rPr>
      </w:pPr>
      <w:r>
        <w:rPr>
          <w:rFonts w:ascii="Times New Roman" w:hAnsi="Times New Roman" w:cs="Times New Roman"/>
          <w:sz w:val="24"/>
          <w:szCs w:val="20"/>
        </w:rPr>
        <w:t>Wydawcy stoją na stanowisku, że</w:t>
      </w:r>
      <w:r w:rsidR="0047296E">
        <w:rPr>
          <w:rFonts w:ascii="Times New Roman" w:hAnsi="Times New Roman" w:cs="Times New Roman"/>
          <w:sz w:val="24"/>
          <w:szCs w:val="20"/>
        </w:rPr>
        <w:t xml:space="preserve"> </w:t>
      </w:r>
      <w:r>
        <w:rPr>
          <w:rFonts w:ascii="Times New Roman" w:hAnsi="Times New Roman" w:cs="Times New Roman"/>
          <w:sz w:val="24"/>
          <w:szCs w:val="20"/>
        </w:rPr>
        <w:t xml:space="preserve">– </w:t>
      </w:r>
      <w:r w:rsidR="0047296E">
        <w:rPr>
          <w:rFonts w:ascii="Times New Roman" w:hAnsi="Times New Roman" w:cs="Times New Roman"/>
          <w:sz w:val="24"/>
          <w:szCs w:val="20"/>
        </w:rPr>
        <w:t>za wyjątkiem ww. pkt. 30, który należałoby doprecyzować, tak aby nie pozostawiał on miejsca na dowolną i zbyt szeroką interpretację – sprawozdanie zasługuje na poparcie i powinno zostać przyjęte jesienią przez PE.</w:t>
      </w:r>
    </w:p>
    <w:p w:rsidR="00465857" w:rsidRDefault="00465857">
      <w:pPr>
        <w:rPr>
          <w:rFonts w:ascii="Times New Roman" w:hAnsi="Times New Roman" w:cs="Times New Roman"/>
          <w:b/>
          <w:sz w:val="32"/>
          <w:szCs w:val="24"/>
        </w:rPr>
      </w:pPr>
      <w:r>
        <w:rPr>
          <w:rFonts w:ascii="Times New Roman" w:hAnsi="Times New Roman" w:cs="Times New Roman"/>
          <w:b/>
          <w:sz w:val="32"/>
          <w:szCs w:val="24"/>
        </w:rPr>
        <w:br w:type="page"/>
      </w:r>
    </w:p>
    <w:p w:rsidR="00465857" w:rsidRDefault="00465857" w:rsidP="0063072C">
      <w:pPr>
        <w:spacing w:after="360"/>
        <w:rPr>
          <w:rFonts w:ascii="Times New Roman" w:hAnsi="Times New Roman" w:cs="Times New Roman"/>
          <w:b/>
          <w:sz w:val="32"/>
          <w:szCs w:val="24"/>
        </w:rPr>
      </w:pPr>
      <w:r>
        <w:rPr>
          <w:rFonts w:ascii="Times New Roman" w:hAnsi="Times New Roman" w:cs="Times New Roman"/>
          <w:b/>
          <w:sz w:val="32"/>
          <w:szCs w:val="24"/>
        </w:rPr>
        <w:lastRenderedPageBreak/>
        <w:t>III. SPOŁECZEŃSTWO INFORMACYJNE</w:t>
      </w:r>
    </w:p>
    <w:p w:rsidR="00465857" w:rsidRDefault="00465857" w:rsidP="0063072C">
      <w:pPr>
        <w:pStyle w:val="Akapitzlist"/>
        <w:numPr>
          <w:ilvl w:val="0"/>
          <w:numId w:val="8"/>
        </w:numPr>
        <w:spacing w:before="240"/>
        <w:ind w:left="714" w:hanging="357"/>
        <w:rPr>
          <w:rFonts w:ascii="Times New Roman" w:hAnsi="Times New Roman" w:cs="Times New Roman"/>
          <w:b/>
          <w:sz w:val="24"/>
          <w:szCs w:val="24"/>
        </w:rPr>
      </w:pPr>
      <w:r>
        <w:rPr>
          <w:rFonts w:ascii="Times New Roman" w:hAnsi="Times New Roman" w:cs="Times New Roman"/>
          <w:b/>
          <w:sz w:val="24"/>
          <w:szCs w:val="24"/>
        </w:rPr>
        <w:t>AVMS</w:t>
      </w:r>
    </w:p>
    <w:p w:rsidR="00D56B97" w:rsidRDefault="00C932D3" w:rsidP="00D56B97">
      <w:pPr>
        <w:spacing w:after="120" w:line="360" w:lineRule="auto"/>
        <w:ind w:firstLine="567"/>
        <w:jc w:val="both"/>
        <w:rPr>
          <w:rFonts w:ascii="Times New Roman" w:hAnsi="Times New Roman" w:cs="Times New Roman"/>
          <w:sz w:val="24"/>
          <w:szCs w:val="24"/>
        </w:rPr>
      </w:pPr>
      <w:r w:rsidRPr="00D56B97">
        <w:rPr>
          <w:rFonts w:ascii="Times New Roman" w:hAnsi="Times New Roman" w:cs="Times New Roman"/>
          <w:sz w:val="24"/>
          <w:szCs w:val="24"/>
        </w:rPr>
        <w:t xml:space="preserve">Obecnie do porządku krajowego implementowana jest dyrektywa 2007/65/WE </w:t>
      </w:r>
      <w:r w:rsidR="0063072C">
        <w:rPr>
          <w:rFonts w:ascii="Times New Roman" w:hAnsi="Times New Roman" w:cs="Times New Roman"/>
          <w:sz w:val="24"/>
          <w:szCs w:val="24"/>
        </w:rPr>
        <w:br/>
      </w:r>
      <w:r w:rsidRPr="00D56B97">
        <w:rPr>
          <w:rFonts w:ascii="Times New Roman" w:hAnsi="Times New Roman" w:cs="Times New Roman"/>
          <w:sz w:val="24"/>
          <w:szCs w:val="24"/>
        </w:rPr>
        <w:t xml:space="preserve">„o audiowizualnych usługach medialnych” (zwana wcześniej dyrektywą o telewizji bez granic). </w:t>
      </w:r>
      <w:r w:rsidR="00D56B97">
        <w:rPr>
          <w:rFonts w:ascii="Times New Roman" w:hAnsi="Times New Roman" w:cs="Times New Roman"/>
          <w:sz w:val="24"/>
          <w:szCs w:val="24"/>
        </w:rPr>
        <w:t>Proces ten powinien się zakończyć w tym roku.</w:t>
      </w:r>
    </w:p>
    <w:p w:rsidR="00D56B97" w:rsidRPr="00D56B97" w:rsidRDefault="00C932D3" w:rsidP="00D56B97">
      <w:pPr>
        <w:spacing w:after="120" w:line="360" w:lineRule="auto"/>
        <w:ind w:firstLine="567"/>
        <w:jc w:val="both"/>
        <w:rPr>
          <w:rFonts w:ascii="Times New Roman" w:hAnsi="Times New Roman" w:cs="Times New Roman"/>
          <w:sz w:val="24"/>
          <w:szCs w:val="24"/>
        </w:rPr>
      </w:pPr>
      <w:r w:rsidRPr="00D56B97">
        <w:rPr>
          <w:rFonts w:ascii="Times New Roman" w:hAnsi="Times New Roman" w:cs="Times New Roman"/>
          <w:sz w:val="24"/>
          <w:szCs w:val="24"/>
        </w:rPr>
        <w:t xml:space="preserve">Dyrektywa nie obejmuje swoim zakresem elektronicznych wersji gazet i czasopism. </w:t>
      </w:r>
      <w:r w:rsidR="0063072C">
        <w:rPr>
          <w:rFonts w:ascii="Times New Roman" w:hAnsi="Times New Roman" w:cs="Times New Roman"/>
          <w:sz w:val="24"/>
          <w:szCs w:val="24"/>
        </w:rPr>
        <w:br/>
      </w:r>
      <w:r w:rsidRPr="00D56B97">
        <w:rPr>
          <w:rFonts w:ascii="Times New Roman" w:hAnsi="Times New Roman" w:cs="Times New Roman"/>
          <w:sz w:val="24"/>
          <w:szCs w:val="24"/>
        </w:rPr>
        <w:t>W dokumencie znalazły się definicje „reklamy telewizyjnej”, „sponsorowania” oraz „lokowania produktu”. W sposób wyraźny uregulowano także kwestie związane z tymi poję</w:t>
      </w:r>
      <w:r w:rsidR="00D56B97" w:rsidRPr="00D56B97">
        <w:rPr>
          <w:rFonts w:ascii="Times New Roman" w:hAnsi="Times New Roman" w:cs="Times New Roman"/>
          <w:sz w:val="24"/>
          <w:szCs w:val="24"/>
        </w:rPr>
        <w:t>ciami.</w:t>
      </w:r>
    </w:p>
    <w:p w:rsidR="00C932D3" w:rsidRDefault="00C932D3" w:rsidP="00D56B97">
      <w:pPr>
        <w:spacing w:after="120" w:line="360" w:lineRule="auto"/>
        <w:ind w:firstLine="567"/>
        <w:jc w:val="both"/>
        <w:rPr>
          <w:rFonts w:ascii="Times New Roman" w:hAnsi="Times New Roman" w:cs="Times New Roman"/>
          <w:sz w:val="24"/>
          <w:szCs w:val="24"/>
        </w:rPr>
      </w:pPr>
      <w:r w:rsidRPr="00D56B97">
        <w:rPr>
          <w:rFonts w:ascii="Times New Roman" w:hAnsi="Times New Roman" w:cs="Times New Roman"/>
          <w:sz w:val="24"/>
          <w:szCs w:val="24"/>
        </w:rPr>
        <w:t>Lokowanie produktu jest generalnie zakazane. Dopuszcza się jednak jego stosowanie – na zasadzie wyjątku – w utworach kinematograficznych, filmach i serialach (…), w audycjach sportowych oraz rozrywkowych (ale nie tych przeznaczonych dla dzieci)</w:t>
      </w:r>
      <w:r w:rsidR="00D56B97" w:rsidRPr="00D56B97">
        <w:rPr>
          <w:rFonts w:ascii="Times New Roman" w:hAnsi="Times New Roman" w:cs="Times New Roman"/>
          <w:sz w:val="24"/>
          <w:szCs w:val="24"/>
        </w:rPr>
        <w:t xml:space="preserve"> lub w przypadku, gdy nie do</w:t>
      </w:r>
      <w:r w:rsidRPr="00D56B97">
        <w:rPr>
          <w:rFonts w:ascii="Times New Roman" w:hAnsi="Times New Roman" w:cs="Times New Roman"/>
          <w:sz w:val="24"/>
          <w:szCs w:val="24"/>
        </w:rPr>
        <w:t xml:space="preserve">chodzi do płatności, a jedynie do bezpłatnego dostarczenia pewnych towarów </w:t>
      </w:r>
      <w:r w:rsidR="0063072C">
        <w:rPr>
          <w:rFonts w:ascii="Times New Roman" w:hAnsi="Times New Roman" w:cs="Times New Roman"/>
          <w:sz w:val="24"/>
          <w:szCs w:val="24"/>
        </w:rPr>
        <w:br/>
      </w:r>
      <w:r w:rsidRPr="00D56B97">
        <w:rPr>
          <w:rFonts w:ascii="Times New Roman" w:hAnsi="Times New Roman" w:cs="Times New Roman"/>
          <w:sz w:val="24"/>
          <w:szCs w:val="24"/>
        </w:rPr>
        <w:t xml:space="preserve">i usług (takich jak rekwizyty i nagrody) w celu zaprezentowania ich w audycji. Równocześnie wprowadzono jednak obowiązek wyraźnego poinformowania widzów o zastosowaniu lokowania produktu – odpowiednia informacja ma zostać zamieszczona na początku, </w:t>
      </w:r>
      <w:r w:rsidR="0063072C">
        <w:rPr>
          <w:rFonts w:ascii="Times New Roman" w:hAnsi="Times New Roman" w:cs="Times New Roman"/>
          <w:sz w:val="24"/>
          <w:szCs w:val="24"/>
        </w:rPr>
        <w:br/>
      </w:r>
      <w:r w:rsidRPr="00D56B97">
        <w:rPr>
          <w:rFonts w:ascii="Times New Roman" w:hAnsi="Times New Roman" w:cs="Times New Roman"/>
          <w:sz w:val="24"/>
          <w:szCs w:val="24"/>
        </w:rPr>
        <w:t xml:space="preserve">na końcu programu oraz w momencie wznowienia po przerwie reklamowej. Podobnie – </w:t>
      </w:r>
      <w:r w:rsidR="0063072C">
        <w:rPr>
          <w:rFonts w:ascii="Times New Roman" w:hAnsi="Times New Roman" w:cs="Times New Roman"/>
          <w:sz w:val="24"/>
          <w:szCs w:val="24"/>
        </w:rPr>
        <w:br/>
      </w:r>
      <w:r w:rsidRPr="00D56B97">
        <w:rPr>
          <w:rFonts w:ascii="Times New Roman" w:hAnsi="Times New Roman" w:cs="Times New Roman"/>
          <w:sz w:val="24"/>
          <w:szCs w:val="24"/>
        </w:rPr>
        <w:t>w przypadku sponsorowania – widzowie muszą być wyraźnie poinformowani o istnieniu umowy o sponsorowaniu – audycje sponsorowane muszą być wyraźnie oznaczone za pomocą nazwy, znaku firmowego lub jakiegokolwiek innego symbolu sponsora, i to w sposób właściwy dla audycji – na jej początku, w trakcie trwania lub na końcu. Dyrektywa pozo-stawia godzinowy limit nadawania reklam, który – tak jak</w:t>
      </w:r>
      <w:r w:rsidR="00D56B97">
        <w:rPr>
          <w:rFonts w:ascii="Times New Roman" w:hAnsi="Times New Roman" w:cs="Times New Roman"/>
          <w:sz w:val="24"/>
          <w:szCs w:val="24"/>
        </w:rPr>
        <w:t xml:space="preserve"> do tej pory – wynosi 12 minut.</w:t>
      </w:r>
    </w:p>
    <w:p w:rsidR="0063072C" w:rsidRPr="0063072C" w:rsidRDefault="0063072C" w:rsidP="0063072C">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Stanowisko:</w:t>
      </w:r>
    </w:p>
    <w:p w:rsidR="00D56B97" w:rsidRPr="00D56B97" w:rsidRDefault="00D56B97" w:rsidP="00D56B97">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Możliwość stosowania lokowania produktu skutkować będzie nierównowagą na rynku reklamowym – uprzywilejowana względem innych mediów zostanie telewizja</w:t>
      </w:r>
      <w:r w:rsidR="0063072C">
        <w:rPr>
          <w:rFonts w:ascii="Times New Roman" w:hAnsi="Times New Roman" w:cs="Times New Roman"/>
          <w:sz w:val="24"/>
          <w:szCs w:val="24"/>
        </w:rPr>
        <w:t xml:space="preserve"> i Internet. N</w:t>
      </w:r>
      <w:r>
        <w:rPr>
          <w:rFonts w:ascii="Times New Roman" w:hAnsi="Times New Roman" w:cs="Times New Roman"/>
          <w:sz w:val="24"/>
          <w:szCs w:val="24"/>
        </w:rPr>
        <w:t xml:space="preserve">ależy podążyć za przykładem innych krajów członkowskich UE, w których – pomimo zapisów dyrektywy – całkowicie zakazano stosowania „product placement”. W Wielkiej Brytanii lokowanie produktu jest i będzie całkowicie zakazane, w Holandii zaś – zakazane </w:t>
      </w:r>
      <w:r w:rsidR="0063072C">
        <w:rPr>
          <w:rFonts w:ascii="Times New Roman" w:hAnsi="Times New Roman" w:cs="Times New Roman"/>
          <w:sz w:val="24"/>
          <w:szCs w:val="24"/>
        </w:rPr>
        <w:br/>
      </w:r>
      <w:r>
        <w:rPr>
          <w:rFonts w:ascii="Times New Roman" w:hAnsi="Times New Roman" w:cs="Times New Roman"/>
          <w:sz w:val="24"/>
          <w:szCs w:val="24"/>
        </w:rPr>
        <w:t>w mediach publicznych.</w:t>
      </w:r>
    </w:p>
    <w:p w:rsidR="00851504" w:rsidRDefault="00851504" w:rsidP="00851504">
      <w:pPr>
        <w:pStyle w:val="Akapitzlist"/>
        <w:rPr>
          <w:rFonts w:ascii="Times New Roman" w:hAnsi="Times New Roman" w:cs="Times New Roman"/>
          <w:b/>
          <w:sz w:val="24"/>
          <w:szCs w:val="24"/>
        </w:rPr>
      </w:pPr>
    </w:p>
    <w:p w:rsidR="0063072C" w:rsidRDefault="0063072C" w:rsidP="00851504">
      <w:pPr>
        <w:pStyle w:val="Akapitzlist"/>
        <w:rPr>
          <w:rFonts w:ascii="Times New Roman" w:hAnsi="Times New Roman" w:cs="Times New Roman"/>
          <w:b/>
          <w:sz w:val="24"/>
          <w:szCs w:val="24"/>
        </w:rPr>
      </w:pPr>
    </w:p>
    <w:p w:rsidR="00AC19EF" w:rsidRDefault="001A6466" w:rsidP="00AC19EF">
      <w:pPr>
        <w:pStyle w:val="Akapitzlist"/>
        <w:numPr>
          <w:ilvl w:val="0"/>
          <w:numId w:val="8"/>
        </w:numPr>
        <w:rPr>
          <w:rFonts w:ascii="Times New Roman" w:hAnsi="Times New Roman" w:cs="Times New Roman"/>
          <w:b/>
          <w:sz w:val="24"/>
          <w:szCs w:val="24"/>
        </w:rPr>
      </w:pPr>
      <w:r>
        <w:rPr>
          <w:rFonts w:ascii="Times New Roman" w:hAnsi="Times New Roman" w:cs="Times New Roman"/>
          <w:b/>
          <w:sz w:val="24"/>
          <w:szCs w:val="24"/>
        </w:rPr>
        <w:lastRenderedPageBreak/>
        <w:t>PAKIET TELEKOMUNIKACYJNY</w:t>
      </w:r>
    </w:p>
    <w:p w:rsidR="00AC19EF" w:rsidRDefault="00AC19EF" w:rsidP="00C932D3">
      <w:pPr>
        <w:spacing w:line="360" w:lineRule="auto"/>
        <w:ind w:firstLine="567"/>
        <w:jc w:val="both"/>
        <w:rPr>
          <w:rFonts w:ascii="TimesNewRomanPSMT" w:hAnsi="TimesNewRomanPSMT" w:cs="TimesNewRomanPSMT"/>
          <w:sz w:val="20"/>
          <w:szCs w:val="20"/>
        </w:rPr>
      </w:pPr>
      <w:r w:rsidRPr="00AC19EF">
        <w:rPr>
          <w:rFonts w:ascii="TimesNewRomanPSMT" w:hAnsi="TimesNewRomanPSMT" w:cs="TimesNewRomanPSMT"/>
          <w:sz w:val="24"/>
          <w:szCs w:val="20"/>
        </w:rPr>
        <w:t xml:space="preserve">Komisja Europejska rozpoczęła przegląd tzw. „Pakietu telekomunikacyjnego”, czyli </w:t>
      </w:r>
      <w:r w:rsidRPr="00A50913">
        <w:rPr>
          <w:rFonts w:ascii="TimesNewRomanPSMT" w:hAnsi="TimesNewRomanPSMT" w:cs="TimesNewRomanPSMT"/>
          <w:sz w:val="24"/>
          <w:szCs w:val="24"/>
        </w:rPr>
        <w:t>dyrektyw regulujących rynek komunikacji elektronicznej</w:t>
      </w:r>
      <w:r w:rsidR="002324D3" w:rsidRPr="00A50913">
        <w:rPr>
          <w:rFonts w:ascii="TimesNewRomanPSMT" w:hAnsi="TimesNewRomanPSMT" w:cs="TimesNewRomanPSMT"/>
          <w:sz w:val="24"/>
          <w:szCs w:val="24"/>
        </w:rPr>
        <w:t xml:space="preserve">. W </w:t>
      </w:r>
      <w:r w:rsidR="0063072C">
        <w:rPr>
          <w:rFonts w:ascii="TimesNewRomanPSMT" w:hAnsi="TimesNewRomanPSMT" w:cs="TimesNewRomanPSMT"/>
          <w:sz w:val="24"/>
          <w:szCs w:val="24"/>
        </w:rPr>
        <w:t>szczególności planuje się zmiany</w:t>
      </w:r>
      <w:r w:rsidR="002324D3" w:rsidRPr="00A50913">
        <w:rPr>
          <w:rFonts w:ascii="TimesNewRomanPSMT" w:hAnsi="TimesNewRomanPSMT" w:cs="TimesNewRomanPSMT"/>
          <w:sz w:val="24"/>
          <w:szCs w:val="24"/>
        </w:rPr>
        <w:t>: dyrektywy o dostępie</w:t>
      </w:r>
      <w:r w:rsidR="002324D3" w:rsidRPr="00A50913">
        <w:rPr>
          <w:rStyle w:val="Odwoanieprzypisudolnego"/>
          <w:rFonts w:ascii="TimesNewRomanPSMT" w:hAnsi="TimesNewRomanPSMT" w:cs="TimesNewRomanPSMT"/>
          <w:sz w:val="24"/>
          <w:szCs w:val="24"/>
        </w:rPr>
        <w:footnoteReference w:id="5"/>
      </w:r>
      <w:r w:rsidR="002324D3" w:rsidRPr="00A50913">
        <w:rPr>
          <w:rFonts w:ascii="TimesNewRomanPSMT" w:hAnsi="TimesNewRomanPSMT" w:cs="TimesNewRomanPSMT"/>
          <w:sz w:val="24"/>
          <w:szCs w:val="24"/>
        </w:rPr>
        <w:t>, dyrektywy o zezwoleniach</w:t>
      </w:r>
      <w:r w:rsidRPr="00A50913">
        <w:rPr>
          <w:rStyle w:val="Odwoanieprzypisudolnego"/>
          <w:rFonts w:ascii="TimesNewRomanPSMT" w:hAnsi="TimesNewRomanPSMT" w:cs="TimesNewRomanPSMT"/>
          <w:sz w:val="24"/>
          <w:szCs w:val="24"/>
        </w:rPr>
        <w:footnoteReference w:id="6"/>
      </w:r>
      <w:r w:rsidR="00A50913" w:rsidRPr="00A50913">
        <w:rPr>
          <w:rFonts w:ascii="TimesNewRomanPSMT" w:hAnsi="TimesNewRomanPSMT" w:cs="TimesNewRomanPSMT"/>
          <w:sz w:val="24"/>
          <w:szCs w:val="24"/>
        </w:rPr>
        <w:t>, dyrektywy ramowej</w:t>
      </w:r>
      <w:r w:rsidR="00A50913" w:rsidRPr="00A50913">
        <w:rPr>
          <w:rStyle w:val="Odwoanieprzypisudolnego"/>
          <w:rFonts w:ascii="TimesNewRomanPSMT" w:hAnsi="TimesNewRomanPSMT" w:cs="TimesNewRomanPSMT"/>
          <w:sz w:val="24"/>
          <w:szCs w:val="24"/>
        </w:rPr>
        <w:footnoteReference w:id="7"/>
      </w:r>
      <w:r w:rsidR="00A50913" w:rsidRPr="00A50913">
        <w:rPr>
          <w:rFonts w:ascii="TimesNewRomanPSMT" w:hAnsi="TimesNewRomanPSMT" w:cs="TimesNewRomanPSMT"/>
          <w:sz w:val="24"/>
          <w:szCs w:val="24"/>
        </w:rPr>
        <w:t>, dyrektywy o usłudze powszechnej</w:t>
      </w:r>
      <w:r w:rsidR="00A50913" w:rsidRPr="00A50913">
        <w:rPr>
          <w:rStyle w:val="Odwoanieprzypisudolnego"/>
          <w:rFonts w:ascii="TimesNewRomanPSMT" w:hAnsi="TimesNewRomanPSMT" w:cs="TimesNewRomanPSMT"/>
          <w:sz w:val="24"/>
          <w:szCs w:val="24"/>
        </w:rPr>
        <w:footnoteReference w:id="8"/>
      </w:r>
      <w:r w:rsidR="00A50913" w:rsidRPr="00A50913">
        <w:rPr>
          <w:rFonts w:ascii="TimesNewRomanPSMT" w:hAnsi="TimesNewRomanPSMT" w:cs="TimesNewRomanPSMT"/>
          <w:sz w:val="24"/>
          <w:szCs w:val="24"/>
        </w:rPr>
        <w:t xml:space="preserve"> i dyrektywy o prywatności i łączności elektronicznej</w:t>
      </w:r>
      <w:r w:rsidR="00A50913" w:rsidRPr="00A50913">
        <w:rPr>
          <w:rStyle w:val="Odwoanieprzypisudolnego"/>
          <w:rFonts w:ascii="TimesNewRomanPSMT" w:hAnsi="TimesNewRomanPSMT" w:cs="TimesNewRomanPSMT"/>
          <w:sz w:val="24"/>
          <w:szCs w:val="24"/>
        </w:rPr>
        <w:footnoteReference w:id="9"/>
      </w:r>
      <w:r w:rsidR="00A50913" w:rsidRPr="00A50913">
        <w:rPr>
          <w:rFonts w:ascii="TimesNewRomanPSMT" w:hAnsi="TimesNewRomanPSMT" w:cs="TimesNewRomanPSMT"/>
          <w:sz w:val="24"/>
          <w:szCs w:val="24"/>
        </w:rPr>
        <w:t xml:space="preserve">. </w:t>
      </w:r>
      <w:r w:rsidRPr="00A50913">
        <w:rPr>
          <w:rFonts w:ascii="TimesNewRomanPSMT" w:hAnsi="TimesNewRomanPSMT" w:cs="TimesNewRomanPSMT"/>
          <w:sz w:val="24"/>
          <w:szCs w:val="24"/>
        </w:rPr>
        <w:t>Ponadto planuje się ustanowienie – w</w:t>
      </w:r>
      <w:r w:rsidR="00A50913" w:rsidRPr="00A50913">
        <w:rPr>
          <w:rFonts w:ascii="Times New Roman" w:hAnsi="Times New Roman" w:cs="Times New Roman"/>
          <w:b/>
          <w:sz w:val="24"/>
          <w:szCs w:val="24"/>
        </w:rPr>
        <w:t xml:space="preserve"> </w:t>
      </w:r>
      <w:r w:rsidRPr="00A50913">
        <w:rPr>
          <w:rFonts w:ascii="TimesNewRomanPSMT" w:hAnsi="TimesNewRomanPSMT" w:cs="TimesNewRomanPSMT"/>
          <w:sz w:val="24"/>
          <w:szCs w:val="24"/>
        </w:rPr>
        <w:t>drodze rozporządzenia – Europejskiego Urzędu ds. Rynku Łączności Elektronicznej (European Electronic</w:t>
      </w:r>
      <w:r w:rsidR="00A50913" w:rsidRPr="00A50913">
        <w:rPr>
          <w:rFonts w:ascii="TimesNewRomanPSMT" w:hAnsi="TimesNewRomanPSMT" w:cs="TimesNewRomanPSMT"/>
          <w:sz w:val="24"/>
          <w:szCs w:val="24"/>
        </w:rPr>
        <w:t xml:space="preserve"> </w:t>
      </w:r>
      <w:r w:rsidRPr="00A50913">
        <w:rPr>
          <w:rFonts w:ascii="TimesNewRomanPSMT" w:hAnsi="TimesNewRomanPSMT" w:cs="TimesNewRomanPSMT"/>
          <w:sz w:val="24"/>
          <w:szCs w:val="24"/>
        </w:rPr>
        <w:t>Communications Market Authority). Planowane zmiany mogą mieć istotne znaczenie dla wydawców, w szczególności ze względu na dwa zagadnienia –</w:t>
      </w:r>
      <w:r w:rsidR="00A50913" w:rsidRPr="00A50913">
        <w:rPr>
          <w:rFonts w:ascii="TimesNewRomanPSMT" w:hAnsi="TimesNewRomanPSMT" w:cs="TimesNewRomanPSMT"/>
          <w:sz w:val="24"/>
          <w:szCs w:val="24"/>
        </w:rPr>
        <w:t xml:space="preserve"> a) </w:t>
      </w:r>
      <w:r w:rsidRPr="00A50913">
        <w:rPr>
          <w:rFonts w:ascii="TimesNewRomanPSMT" w:hAnsi="TimesNewRomanPSMT" w:cs="TimesNewRomanPSMT"/>
          <w:sz w:val="24"/>
          <w:szCs w:val="24"/>
        </w:rPr>
        <w:t>ochronę prywatności użytkowników</w:t>
      </w:r>
      <w:r w:rsidR="00A232AB">
        <w:rPr>
          <w:rFonts w:ascii="TimesNewRomanPSMT" w:hAnsi="TimesNewRomanPSMT" w:cs="TimesNewRomanPSMT"/>
          <w:sz w:val="24"/>
          <w:szCs w:val="24"/>
        </w:rPr>
        <w:t xml:space="preserve"> (możliwość stosowania plików „cookies”</w:t>
      </w:r>
      <w:r w:rsidR="00A232AB">
        <w:rPr>
          <w:rStyle w:val="Odwoanieprzypisudolnego"/>
          <w:rFonts w:ascii="TimesNewRomanPSMT" w:hAnsi="TimesNewRomanPSMT" w:cs="TimesNewRomanPSMT"/>
          <w:sz w:val="24"/>
          <w:szCs w:val="24"/>
        </w:rPr>
        <w:footnoteReference w:id="10"/>
      </w:r>
      <w:r w:rsidR="00A232AB">
        <w:rPr>
          <w:rFonts w:ascii="TimesNewRomanPSMT" w:hAnsi="TimesNewRomanPSMT" w:cs="TimesNewRomanPSMT"/>
          <w:sz w:val="24"/>
          <w:szCs w:val="24"/>
        </w:rPr>
        <w:t>)</w:t>
      </w:r>
      <w:r w:rsidRPr="00A50913">
        <w:rPr>
          <w:rFonts w:ascii="TimesNewRomanPSMT" w:hAnsi="TimesNewRomanPSMT" w:cs="TimesNewRomanPSMT"/>
          <w:sz w:val="24"/>
          <w:szCs w:val="24"/>
        </w:rPr>
        <w:t xml:space="preserve"> oraz </w:t>
      </w:r>
      <w:r w:rsidR="00A50913" w:rsidRPr="00A50913">
        <w:rPr>
          <w:rFonts w:ascii="TimesNewRomanPSMT" w:hAnsi="TimesNewRomanPSMT" w:cs="TimesNewRomanPSMT"/>
          <w:sz w:val="24"/>
          <w:szCs w:val="24"/>
        </w:rPr>
        <w:t xml:space="preserve">b) </w:t>
      </w:r>
      <w:r w:rsidRPr="00A50913">
        <w:rPr>
          <w:rFonts w:ascii="TimesNewRomanPSMT" w:hAnsi="TimesNewRomanPSMT" w:cs="TimesNewRomanPSMT"/>
          <w:sz w:val="24"/>
          <w:szCs w:val="24"/>
        </w:rPr>
        <w:t>tzw. „neutralność sieciową”.</w:t>
      </w:r>
    </w:p>
    <w:p w:rsidR="00A50913" w:rsidRPr="00A50913" w:rsidRDefault="00A50913" w:rsidP="00A50913">
      <w:pPr>
        <w:pStyle w:val="Akapitzlist"/>
        <w:numPr>
          <w:ilvl w:val="0"/>
          <w:numId w:val="26"/>
        </w:numPr>
        <w:rPr>
          <w:rFonts w:ascii="Times New Roman" w:hAnsi="Times New Roman" w:cs="Times New Roman"/>
          <w:b/>
          <w:sz w:val="24"/>
          <w:szCs w:val="24"/>
        </w:rPr>
      </w:pPr>
      <w:r>
        <w:rPr>
          <w:rFonts w:ascii="Times New Roman" w:hAnsi="Times New Roman" w:cs="Times New Roman"/>
          <w:b/>
          <w:sz w:val="24"/>
          <w:szCs w:val="24"/>
        </w:rPr>
        <w:t>Prywatność użytkowników (ePrivacy directive)</w:t>
      </w:r>
    </w:p>
    <w:p w:rsidR="00A232AB" w:rsidRDefault="00B11530" w:rsidP="00A232AB">
      <w:pPr>
        <w:spacing w:after="120" w:line="360" w:lineRule="auto"/>
        <w:ind w:firstLine="567"/>
        <w:jc w:val="both"/>
        <w:rPr>
          <w:rFonts w:ascii="Times New Roman" w:hAnsi="Times New Roman" w:cs="Times New Roman"/>
          <w:sz w:val="24"/>
          <w:szCs w:val="20"/>
        </w:rPr>
      </w:pPr>
      <w:r w:rsidRPr="00A232AB">
        <w:rPr>
          <w:rFonts w:ascii="Times New Roman" w:hAnsi="Times New Roman" w:cs="Times New Roman"/>
          <w:sz w:val="24"/>
          <w:szCs w:val="20"/>
        </w:rPr>
        <w:t>Zgodnie z obowiązującymi obecnie przepisami, używanie plików „cookies” jest dozwolone, o ile użytkownik Internetu uzyska na odwiedzanej stronie internetowej klarowną informację na ten temat i będzie miał możliwość udzielenia odmowy na przetwarzanie jego danych (tzw. klauzula opt-out).</w:t>
      </w:r>
    </w:p>
    <w:p w:rsidR="00033C1C" w:rsidRDefault="00B11530" w:rsidP="00033C1C">
      <w:pPr>
        <w:spacing w:after="120" w:line="360" w:lineRule="auto"/>
        <w:ind w:firstLine="567"/>
        <w:jc w:val="both"/>
        <w:rPr>
          <w:rFonts w:ascii="Times New Roman" w:hAnsi="Times New Roman" w:cs="Times New Roman"/>
          <w:sz w:val="24"/>
          <w:szCs w:val="20"/>
        </w:rPr>
      </w:pPr>
      <w:r w:rsidRPr="00A232AB">
        <w:rPr>
          <w:rFonts w:ascii="Times New Roman" w:hAnsi="Times New Roman" w:cs="Times New Roman"/>
          <w:sz w:val="24"/>
          <w:szCs w:val="20"/>
        </w:rPr>
        <w:t>Planowane dotychczas zmiany zmierzały do przyjęcia tzw. klauzuli opt-in, która zakładała, że użytkownik Internetu będzie musiał wyrazić zgodę na stosowanie plików cookies przed każdorazowym odwiedzeniem strony. Zgodnie z p</w:t>
      </w:r>
      <w:r w:rsidR="00A232AB">
        <w:rPr>
          <w:rFonts w:ascii="Times New Roman" w:hAnsi="Times New Roman" w:cs="Times New Roman"/>
          <w:sz w:val="24"/>
          <w:szCs w:val="20"/>
        </w:rPr>
        <w:t>rzedstawioną przez posła sprawozdawcę</w:t>
      </w:r>
      <w:r w:rsidRPr="00A232AB">
        <w:rPr>
          <w:rFonts w:ascii="Times New Roman" w:hAnsi="Times New Roman" w:cs="Times New Roman"/>
          <w:sz w:val="24"/>
          <w:szCs w:val="20"/>
        </w:rPr>
        <w:t xml:space="preserve"> </w:t>
      </w:r>
      <w:r w:rsidR="00A232AB">
        <w:rPr>
          <w:rFonts w:ascii="Times New Roman" w:hAnsi="Times New Roman" w:cs="Times New Roman"/>
          <w:sz w:val="24"/>
          <w:szCs w:val="20"/>
        </w:rPr>
        <w:t xml:space="preserve">– </w:t>
      </w:r>
      <w:r w:rsidRPr="00A232AB">
        <w:rPr>
          <w:rFonts w:ascii="Times New Roman" w:hAnsi="Times New Roman" w:cs="Times New Roman"/>
          <w:sz w:val="24"/>
          <w:szCs w:val="20"/>
        </w:rPr>
        <w:t>Ale</w:t>
      </w:r>
      <w:r w:rsidR="00A232AB">
        <w:rPr>
          <w:rFonts w:ascii="Times New Roman" w:hAnsi="Times New Roman" w:cs="Times New Roman"/>
          <w:sz w:val="24"/>
          <w:szCs w:val="20"/>
        </w:rPr>
        <w:t xml:space="preserve">xandra Alvaro z </w:t>
      </w:r>
      <w:r w:rsidR="00033C1C">
        <w:rPr>
          <w:rFonts w:ascii="Times New Roman" w:hAnsi="Times New Roman" w:cs="Times New Roman"/>
          <w:sz w:val="24"/>
          <w:szCs w:val="20"/>
        </w:rPr>
        <w:t>Niemiec – p</w:t>
      </w:r>
      <w:r w:rsidR="00A232AB" w:rsidRPr="00A232AB">
        <w:rPr>
          <w:rFonts w:ascii="Times New Roman" w:hAnsi="Times New Roman" w:cs="Times New Roman"/>
          <w:sz w:val="24"/>
          <w:szCs w:val="20"/>
        </w:rPr>
        <w:t xml:space="preserve">oprawką, </w:t>
      </w:r>
      <w:r w:rsidRPr="00A232AB">
        <w:rPr>
          <w:rFonts w:ascii="Times New Roman" w:hAnsi="Times New Roman" w:cs="Times New Roman"/>
          <w:sz w:val="24"/>
          <w:szCs w:val="20"/>
        </w:rPr>
        <w:t xml:space="preserve">odpowiednie ustawienie opcji przeglądarki internetowej miało być traktowane jako udzielenie takiej zgody. 24 września </w:t>
      </w:r>
      <w:r w:rsidR="00033C1C">
        <w:rPr>
          <w:rFonts w:ascii="Times New Roman" w:hAnsi="Times New Roman" w:cs="Times New Roman"/>
          <w:sz w:val="24"/>
          <w:szCs w:val="20"/>
        </w:rPr>
        <w:t>zeszłego roku</w:t>
      </w:r>
      <w:r w:rsidRPr="00A232AB">
        <w:rPr>
          <w:rFonts w:ascii="Times New Roman" w:hAnsi="Times New Roman" w:cs="Times New Roman"/>
          <w:sz w:val="24"/>
          <w:szCs w:val="20"/>
        </w:rPr>
        <w:t xml:space="preserve"> Parlament Europejski przyjął wspomnianą poprawkę. </w:t>
      </w:r>
    </w:p>
    <w:p w:rsidR="00033C1C" w:rsidRDefault="00B11530" w:rsidP="00033C1C">
      <w:pPr>
        <w:spacing w:after="120" w:line="360" w:lineRule="auto"/>
        <w:ind w:firstLine="567"/>
        <w:jc w:val="both"/>
        <w:rPr>
          <w:rFonts w:ascii="Times New Roman" w:hAnsi="Times New Roman" w:cs="Times New Roman"/>
          <w:sz w:val="24"/>
          <w:szCs w:val="20"/>
        </w:rPr>
      </w:pPr>
      <w:r w:rsidRPr="00033C1C">
        <w:rPr>
          <w:rFonts w:ascii="Times New Roman" w:hAnsi="Times New Roman" w:cs="Times New Roman"/>
          <w:sz w:val="24"/>
          <w:szCs w:val="20"/>
        </w:rPr>
        <w:lastRenderedPageBreak/>
        <w:t xml:space="preserve">Na szczeblu Komisji Europejskiej i Rady planowane było wprowadzenie surowszych zmian, zakładających udzielanie każdorazowo przy wchodzeniu na konkretną stronę wyraźnej zgody. Zgodnie z postulatem, ustawienia przeglądarki nie miały być wystarczające. </w:t>
      </w:r>
    </w:p>
    <w:p w:rsidR="00033C1C" w:rsidRDefault="00B11530" w:rsidP="00033C1C">
      <w:pPr>
        <w:spacing w:after="120" w:line="360" w:lineRule="auto"/>
        <w:ind w:firstLine="567"/>
        <w:jc w:val="both"/>
        <w:rPr>
          <w:rFonts w:ascii="Times New Roman" w:hAnsi="Times New Roman" w:cs="Times New Roman"/>
          <w:sz w:val="24"/>
          <w:szCs w:val="20"/>
        </w:rPr>
      </w:pPr>
      <w:r w:rsidRPr="00033C1C">
        <w:rPr>
          <w:rFonts w:ascii="Times New Roman" w:hAnsi="Times New Roman" w:cs="Times New Roman"/>
          <w:sz w:val="24"/>
          <w:szCs w:val="20"/>
        </w:rPr>
        <w:t xml:space="preserve">Biorąc pod uwagę fakt, iż pliki „cookies” są niezbędne w działalności reklamowej wydawców w sieci, a także fakt, iż świadomość przeważającej części użytkowników jest bardzo niska (wielu użytkowników myli podstawowe rozwiązania przeglądarek, wpisując np. na stronie Google swój login do skrzynki mailowej w pasek adresu i hasło w okno wyszukiwarki), </w:t>
      </w:r>
      <w:r w:rsidR="00A232AB" w:rsidRPr="00033C1C">
        <w:rPr>
          <w:rFonts w:ascii="Times New Roman" w:hAnsi="Times New Roman" w:cs="Times New Roman"/>
          <w:sz w:val="24"/>
          <w:szCs w:val="20"/>
        </w:rPr>
        <w:t>wprowadzenie postulow</w:t>
      </w:r>
      <w:r w:rsidR="00A75BAC">
        <w:rPr>
          <w:rFonts w:ascii="Times New Roman" w:hAnsi="Times New Roman" w:cs="Times New Roman"/>
          <w:sz w:val="24"/>
          <w:szCs w:val="20"/>
        </w:rPr>
        <w:t xml:space="preserve">anych zmian mogłoby mieć daleko </w:t>
      </w:r>
      <w:r w:rsidR="00A232AB" w:rsidRPr="00033C1C">
        <w:rPr>
          <w:rFonts w:ascii="Times New Roman" w:hAnsi="Times New Roman" w:cs="Times New Roman"/>
          <w:sz w:val="24"/>
          <w:szCs w:val="20"/>
        </w:rPr>
        <w:t xml:space="preserve">idące </w:t>
      </w:r>
      <w:r w:rsidR="00A75BAC">
        <w:rPr>
          <w:rFonts w:ascii="Times New Roman" w:hAnsi="Times New Roman" w:cs="Times New Roman"/>
          <w:sz w:val="24"/>
          <w:szCs w:val="20"/>
        </w:rPr>
        <w:t xml:space="preserve">negatywne </w:t>
      </w:r>
      <w:r w:rsidR="00A232AB" w:rsidRPr="00033C1C">
        <w:rPr>
          <w:rFonts w:ascii="Times New Roman" w:hAnsi="Times New Roman" w:cs="Times New Roman"/>
          <w:sz w:val="24"/>
          <w:szCs w:val="20"/>
        </w:rPr>
        <w:t xml:space="preserve">konsekwencje dla wydawców. </w:t>
      </w:r>
    </w:p>
    <w:p w:rsidR="00033C1C" w:rsidRDefault="00A232AB" w:rsidP="00033C1C">
      <w:pPr>
        <w:spacing w:after="120" w:line="360" w:lineRule="auto"/>
        <w:ind w:firstLine="567"/>
        <w:jc w:val="both"/>
        <w:rPr>
          <w:rFonts w:ascii="Times New Roman" w:hAnsi="Times New Roman" w:cs="Times New Roman"/>
          <w:sz w:val="24"/>
          <w:szCs w:val="20"/>
        </w:rPr>
      </w:pPr>
      <w:r w:rsidRPr="00033C1C">
        <w:rPr>
          <w:rFonts w:ascii="Times New Roman" w:hAnsi="Times New Roman" w:cs="Times New Roman"/>
          <w:sz w:val="24"/>
          <w:szCs w:val="20"/>
        </w:rPr>
        <w:t xml:space="preserve">Działania podjęte przez europejskich wydawców </w:t>
      </w:r>
      <w:r w:rsidR="00B11530" w:rsidRPr="00033C1C">
        <w:rPr>
          <w:rFonts w:ascii="Times New Roman" w:hAnsi="Times New Roman" w:cs="Times New Roman"/>
          <w:sz w:val="24"/>
          <w:szCs w:val="20"/>
        </w:rPr>
        <w:t xml:space="preserve">doprowadziły do zmiany sytuacji – KE odrzuciła przyjętą przez Parlament rygorystyczną poprawkę nr 128 [dotyczącą cookies (opt-in)]. Stanowisko to zostało następnie potwierdzone przez Radę, która 27. listopada opublikowała Kompromisową Propozycję Prezydencji zawierającą skonsolidowana wersję wniosku w sprawie zmiany dyrektywy 2002/58/WE Punkt odnoszący się do „cookies” uzyskał </w:t>
      </w:r>
      <w:r w:rsidR="00033C1C">
        <w:rPr>
          <w:rFonts w:ascii="Times New Roman" w:hAnsi="Times New Roman" w:cs="Times New Roman"/>
          <w:sz w:val="24"/>
          <w:szCs w:val="20"/>
        </w:rPr>
        <w:t>brzmienie zgodne z postulatami europejskich wydawców (tzw. klauzula opt-out).</w:t>
      </w:r>
    </w:p>
    <w:p w:rsidR="00851504" w:rsidRDefault="00B11530" w:rsidP="00033C1C">
      <w:pPr>
        <w:spacing w:after="120" w:line="360" w:lineRule="auto"/>
        <w:ind w:firstLine="567"/>
        <w:jc w:val="both"/>
        <w:rPr>
          <w:rFonts w:ascii="Times New Roman" w:hAnsi="Times New Roman" w:cs="Times New Roman"/>
          <w:sz w:val="24"/>
          <w:szCs w:val="24"/>
        </w:rPr>
      </w:pPr>
      <w:r w:rsidRPr="00033C1C">
        <w:rPr>
          <w:rFonts w:ascii="Times New Roman" w:hAnsi="Times New Roman" w:cs="Times New Roman"/>
          <w:sz w:val="24"/>
          <w:szCs w:val="24"/>
        </w:rPr>
        <w:t>Propozycja ta trafi</w:t>
      </w:r>
      <w:r w:rsidR="00A232AB" w:rsidRPr="00033C1C">
        <w:rPr>
          <w:rFonts w:ascii="Times New Roman" w:hAnsi="Times New Roman" w:cs="Times New Roman"/>
          <w:sz w:val="24"/>
          <w:szCs w:val="24"/>
        </w:rPr>
        <w:t>ła niedawno</w:t>
      </w:r>
      <w:r w:rsidRPr="00033C1C">
        <w:rPr>
          <w:rFonts w:ascii="Times New Roman" w:hAnsi="Times New Roman" w:cs="Times New Roman"/>
          <w:sz w:val="24"/>
          <w:szCs w:val="24"/>
        </w:rPr>
        <w:t xml:space="preserve"> do drugiego czytania w Parlamencie</w:t>
      </w:r>
      <w:r w:rsidR="00A232AB" w:rsidRPr="00033C1C">
        <w:rPr>
          <w:rFonts w:ascii="Times New Roman" w:hAnsi="Times New Roman" w:cs="Times New Roman"/>
          <w:sz w:val="24"/>
          <w:szCs w:val="24"/>
        </w:rPr>
        <w:t xml:space="preserve"> Europejskim, który 6. maja </w:t>
      </w:r>
      <w:r w:rsidR="00033C1C">
        <w:rPr>
          <w:rFonts w:ascii="Times New Roman" w:hAnsi="Times New Roman" w:cs="Times New Roman"/>
          <w:sz w:val="24"/>
          <w:szCs w:val="24"/>
        </w:rPr>
        <w:t>przyjął – z</w:t>
      </w:r>
      <w:r w:rsidR="00033C1C" w:rsidRPr="00033C1C">
        <w:rPr>
          <w:rFonts w:ascii="Times New Roman" w:hAnsi="Times New Roman" w:cs="Times New Roman"/>
          <w:sz w:val="24"/>
          <w:szCs w:val="24"/>
        </w:rPr>
        <w:t xml:space="preserve">godnie z kompromisem osiągniętym w postępowaniu pojednawczym trójstronnym – tzn. PE z KE i RE </w:t>
      </w:r>
      <w:r w:rsidR="00033C1C">
        <w:rPr>
          <w:rFonts w:ascii="Times New Roman" w:hAnsi="Times New Roman" w:cs="Times New Roman"/>
          <w:sz w:val="24"/>
          <w:szCs w:val="24"/>
        </w:rPr>
        <w:t xml:space="preserve">– </w:t>
      </w:r>
      <w:r w:rsidR="00A232AB" w:rsidRPr="00033C1C">
        <w:rPr>
          <w:rFonts w:ascii="Times New Roman" w:hAnsi="Times New Roman" w:cs="Times New Roman"/>
          <w:sz w:val="24"/>
          <w:szCs w:val="24"/>
        </w:rPr>
        <w:t xml:space="preserve">następujące brzmienie </w:t>
      </w:r>
      <w:r w:rsidR="00033C1C">
        <w:rPr>
          <w:rFonts w:ascii="Times New Roman" w:hAnsi="Times New Roman" w:cs="Times New Roman"/>
          <w:sz w:val="24"/>
          <w:szCs w:val="24"/>
        </w:rPr>
        <w:t>art. 5 § 3</w:t>
      </w:r>
      <w:r w:rsidR="00A232AB" w:rsidRPr="00033C1C">
        <w:rPr>
          <w:rFonts w:ascii="Times New Roman" w:hAnsi="Times New Roman" w:cs="Times New Roman"/>
          <w:sz w:val="24"/>
          <w:szCs w:val="24"/>
        </w:rPr>
        <w:t>:</w:t>
      </w:r>
      <w:r w:rsidR="00033C1C">
        <w:rPr>
          <w:rFonts w:ascii="Times New Roman" w:hAnsi="Times New Roman" w:cs="Times New Roman"/>
          <w:sz w:val="24"/>
          <w:szCs w:val="24"/>
        </w:rPr>
        <w:t xml:space="preserve"> </w:t>
      </w:r>
    </w:p>
    <w:p w:rsidR="00851504" w:rsidRDefault="00A232AB" w:rsidP="00851504">
      <w:pPr>
        <w:spacing w:after="120" w:line="240" w:lineRule="auto"/>
        <w:ind w:firstLine="567"/>
        <w:jc w:val="both"/>
        <w:rPr>
          <w:rFonts w:ascii="Times New Roman" w:hAnsi="Times New Roman" w:cs="Times New Roman"/>
          <w:sz w:val="20"/>
          <w:szCs w:val="24"/>
        </w:rPr>
      </w:pPr>
      <w:r w:rsidRPr="00851504">
        <w:rPr>
          <w:rFonts w:ascii="Times New Roman" w:hAnsi="Times New Roman" w:cs="Times New Roman"/>
          <w:sz w:val="20"/>
          <w:szCs w:val="24"/>
        </w:rPr>
        <w:t>„Państwa członkowskie dopilnowują, by przechowywanie informacji lub uzyskanie dostępu do informacji już przechowywanych w urządzeniu końcowym abonenta lub użytkownika było dozwolone wyłącznie pod warunkiem, że zainteresowany abonent lub użytkownik wyraził zgodę zgodnie z dyrektywą 95/46/WE po otrzymaniu jasnych i wyczerpujących informacji, między innymi o celach przetwarzania. Nie stanowi to przeszkody dla technicznego przechowywania danych ani dostępu do nich jedynie w celu wykonania transmisji komunikatu za pośrednictwem sieci łączności elektronicznej, lub gdy jest to ściśle niezbędne w celu świadczenia usługi przez dostawcę usługi społeczeństwa informacyjnego, wyraźnie zażądanej przez abonenta lub użytkownika”.</w:t>
      </w:r>
    </w:p>
    <w:p w:rsidR="00851504" w:rsidRDefault="00033C1C" w:rsidP="00033C1C">
      <w:pPr>
        <w:spacing w:after="120" w:line="360" w:lineRule="auto"/>
        <w:ind w:firstLine="567"/>
        <w:jc w:val="both"/>
        <w:rPr>
          <w:rFonts w:ascii="Times New Roman" w:hAnsi="Times New Roman" w:cs="Times New Roman"/>
          <w:sz w:val="24"/>
          <w:szCs w:val="24"/>
        </w:rPr>
      </w:pPr>
      <w:r w:rsidRPr="00033C1C">
        <w:rPr>
          <w:rFonts w:ascii="Times New Roman" w:hAnsi="Times New Roman" w:cs="Times New Roman"/>
          <w:sz w:val="24"/>
          <w:szCs w:val="24"/>
        </w:rPr>
        <w:t xml:space="preserve">Art. 5 </w:t>
      </w:r>
      <w:r w:rsidR="00A232AB" w:rsidRPr="00033C1C">
        <w:rPr>
          <w:rFonts w:ascii="Times New Roman" w:hAnsi="Times New Roman" w:cs="Times New Roman"/>
          <w:sz w:val="24"/>
          <w:szCs w:val="24"/>
        </w:rPr>
        <w:t>§ 3 jest jednak</w:t>
      </w:r>
      <w:r w:rsidR="00DC4D40">
        <w:rPr>
          <w:rFonts w:ascii="Times New Roman" w:hAnsi="Times New Roman" w:cs="Times New Roman"/>
          <w:sz w:val="24"/>
          <w:szCs w:val="24"/>
        </w:rPr>
        <w:t xml:space="preserve"> uzupełniony o następujący </w:t>
      </w:r>
      <w:r w:rsidR="00FC7E1D">
        <w:rPr>
          <w:rFonts w:ascii="Times New Roman" w:hAnsi="Times New Roman" w:cs="Times New Roman"/>
          <w:sz w:val="24"/>
          <w:szCs w:val="24"/>
        </w:rPr>
        <w:t>ust.</w:t>
      </w:r>
      <w:r w:rsidR="00A232AB" w:rsidRPr="00033C1C">
        <w:rPr>
          <w:rFonts w:ascii="Times New Roman" w:hAnsi="Times New Roman" w:cs="Times New Roman"/>
          <w:sz w:val="24"/>
          <w:szCs w:val="24"/>
        </w:rPr>
        <w:t xml:space="preserve"> 52a:</w:t>
      </w:r>
      <w:r w:rsidRPr="00033C1C">
        <w:rPr>
          <w:rFonts w:ascii="Times New Roman" w:hAnsi="Times New Roman" w:cs="Times New Roman"/>
          <w:sz w:val="24"/>
          <w:szCs w:val="24"/>
        </w:rPr>
        <w:t xml:space="preserve"> </w:t>
      </w:r>
    </w:p>
    <w:p w:rsidR="00033C1C" w:rsidRDefault="00A232AB" w:rsidP="00851504">
      <w:pPr>
        <w:spacing w:after="120" w:line="240" w:lineRule="auto"/>
        <w:ind w:firstLine="567"/>
        <w:jc w:val="both"/>
        <w:rPr>
          <w:rFonts w:ascii="Times New Roman" w:hAnsi="Times New Roman" w:cs="Times New Roman"/>
          <w:sz w:val="24"/>
          <w:szCs w:val="24"/>
        </w:rPr>
      </w:pPr>
      <w:r w:rsidRPr="00851504">
        <w:rPr>
          <w:rFonts w:ascii="Times New Roman" w:hAnsi="Times New Roman" w:cs="Times New Roman"/>
          <w:sz w:val="20"/>
          <w:szCs w:val="24"/>
        </w:rPr>
        <w:t>„Osoby trzecie mogą chcieć przechowywać informacje używając urządzeń użytkownika lub uzyskiwać dostęp do informacji już przechowywanych z wielu względów, począwszy od uzasadnionych (np. niektóre rodzaje cookies), a skończywszy na tych obejmujących nieuzasadnioną ingerencję w sferę prywatną (np. oprogramowanie szpiegowskie lub wirusy). Dlatego też ogromne znaczenie ma przekazywanie użytkownikom jasnych i wyczerpujących informacji, gdy podejmują jakiekolwiek działania, które mogłyby skutkować takim przechowywaniem lub uzyskaniem dostępu. Metody udostępniania informacji oraz oferowania prawa do odmowy powinny być jak najbardziej przyjazne dla użytkownika. Wyjątek od obowiązku udzielania informacji i oferowania prawa do odmowy powinien być ograniczony do tych sytuacji, w których techniczne przechowywanie lub dostęp jest ściśle konieczny do realizacji zgodnego z prawem celu, jakim jest umożliwienie korzystania z określonej usługi, której abonent lub użytkownik wyraźnie zażądał. Jeżeli jest to technicznie możliwe i skuteczne, zgodnie z odpowiednimi przepisami dyrektywy 95/46/WE użytkownik może wyrazić chęć zaakceptowania przetwarzania poprzez zastosowanie odpowiednich ustawień w przeglądarce lub innej aplikacji. Wymagania te powinny być bardziej skutecznie egzekwowane w drodze przyznania właściwym władzom krajowym większych uprawnień na mocy art. 15a niniejszej dyrektywy”</w:t>
      </w:r>
      <w:r w:rsidR="00033C1C" w:rsidRPr="00851504">
        <w:rPr>
          <w:rFonts w:ascii="Times New Roman" w:hAnsi="Times New Roman" w:cs="Times New Roman"/>
          <w:sz w:val="20"/>
          <w:szCs w:val="24"/>
        </w:rPr>
        <w:t>.</w:t>
      </w:r>
    </w:p>
    <w:p w:rsidR="0017328A" w:rsidRDefault="00A232AB" w:rsidP="0017328A">
      <w:pPr>
        <w:spacing w:after="120" w:line="360" w:lineRule="auto"/>
        <w:ind w:firstLine="567"/>
        <w:jc w:val="both"/>
        <w:rPr>
          <w:rFonts w:ascii="Times New Roman" w:hAnsi="Times New Roman" w:cs="Times New Roman"/>
          <w:sz w:val="24"/>
          <w:szCs w:val="24"/>
        </w:rPr>
      </w:pPr>
      <w:r w:rsidRPr="00033C1C">
        <w:rPr>
          <w:rFonts w:ascii="Times New Roman" w:hAnsi="Times New Roman" w:cs="Times New Roman"/>
          <w:sz w:val="24"/>
          <w:szCs w:val="24"/>
        </w:rPr>
        <w:lastRenderedPageBreak/>
        <w:t>Biorąc pod uwagę fakt, że PE usilnie próbował zmienić obowiązujące obecnie rozwiązanie „opt-out” w „opt-in”, czyli wprowadzić konieczność wyraźnego wyrażenia zgody przez użytkownika</w:t>
      </w:r>
      <w:r w:rsidR="00DC4D40">
        <w:rPr>
          <w:rFonts w:ascii="Times New Roman" w:hAnsi="Times New Roman" w:cs="Times New Roman"/>
          <w:sz w:val="24"/>
          <w:szCs w:val="24"/>
        </w:rPr>
        <w:t>, przegłosowane brzmienie ocenia się</w:t>
      </w:r>
      <w:r w:rsidRPr="00033C1C">
        <w:rPr>
          <w:rFonts w:ascii="Times New Roman" w:hAnsi="Times New Roman" w:cs="Times New Roman"/>
          <w:sz w:val="24"/>
          <w:szCs w:val="24"/>
        </w:rPr>
        <w:t xml:space="preserve"> pozytywnie – mówi się bowiem o możliwości wyrażenia zgody przez ustawienia opcji w przeglądarce internetow</w:t>
      </w:r>
      <w:r w:rsidR="00033C1C">
        <w:rPr>
          <w:rFonts w:ascii="Times New Roman" w:hAnsi="Times New Roman" w:cs="Times New Roman"/>
          <w:sz w:val="24"/>
          <w:szCs w:val="24"/>
        </w:rPr>
        <w:t xml:space="preserve">ej. Jednak zapis art. 5 § </w:t>
      </w:r>
      <w:r w:rsidRPr="00033C1C">
        <w:rPr>
          <w:rFonts w:ascii="Times New Roman" w:hAnsi="Times New Roman" w:cs="Times New Roman"/>
          <w:sz w:val="24"/>
          <w:szCs w:val="24"/>
        </w:rPr>
        <w:t>3 jest niewystarczająco jasny. Zgodnie z zapisem, użytkownik musi być wyraźnie poinformowany przed wyr</w:t>
      </w:r>
      <w:r w:rsidR="00DC4D40">
        <w:rPr>
          <w:rFonts w:ascii="Times New Roman" w:hAnsi="Times New Roman" w:cs="Times New Roman"/>
          <w:sz w:val="24"/>
          <w:szCs w:val="24"/>
        </w:rPr>
        <w:t xml:space="preserve">ażeniem zgody. Zgodnie z </w:t>
      </w:r>
      <w:r w:rsidR="00FC7E1D">
        <w:rPr>
          <w:rFonts w:ascii="Times New Roman" w:hAnsi="Times New Roman" w:cs="Times New Roman"/>
          <w:sz w:val="24"/>
          <w:szCs w:val="24"/>
        </w:rPr>
        <w:t>ust.</w:t>
      </w:r>
      <w:r w:rsidRPr="00033C1C">
        <w:rPr>
          <w:rFonts w:ascii="Times New Roman" w:hAnsi="Times New Roman" w:cs="Times New Roman"/>
          <w:sz w:val="24"/>
          <w:szCs w:val="24"/>
        </w:rPr>
        <w:t xml:space="preserve"> 52a</w:t>
      </w:r>
      <w:r w:rsidR="00DC4D40">
        <w:rPr>
          <w:rFonts w:ascii="Times New Roman" w:hAnsi="Times New Roman" w:cs="Times New Roman"/>
          <w:sz w:val="24"/>
          <w:szCs w:val="24"/>
        </w:rPr>
        <w:t>,</w:t>
      </w:r>
      <w:r w:rsidRPr="00033C1C">
        <w:rPr>
          <w:rFonts w:ascii="Times New Roman" w:hAnsi="Times New Roman" w:cs="Times New Roman"/>
          <w:sz w:val="24"/>
          <w:szCs w:val="24"/>
        </w:rPr>
        <w:t xml:space="preserve"> taka zgoda może być wyrażona przez odpowiednie ustawienie przeglądarki, ale nie ma to odzwierciedlenia w tekście art. 5 § 3. Użytkownik musi być poinformowany przed wyrażeniem zgody, za każdym razem podjąć świadomą decyzję po uprzednim poinformowaniu – a więc przed wejściem na daną stronę musi uzyskać informację o używaniu cookies – w jakiej formie? Np. przez wyskakujące okienko – co wywołuje często zniech</w:t>
      </w:r>
      <w:r w:rsidR="00033C1C">
        <w:rPr>
          <w:rFonts w:ascii="Times New Roman" w:hAnsi="Times New Roman" w:cs="Times New Roman"/>
          <w:sz w:val="24"/>
          <w:szCs w:val="24"/>
        </w:rPr>
        <w:t>ęcenie i frustruje użytkownika. M</w:t>
      </w:r>
      <w:r w:rsidRPr="00033C1C">
        <w:rPr>
          <w:rFonts w:ascii="Times New Roman" w:hAnsi="Times New Roman" w:cs="Times New Roman"/>
          <w:sz w:val="24"/>
          <w:szCs w:val="24"/>
        </w:rPr>
        <w:t>ożliwe więc będzie to, że użytkownik wybierze wariant</w:t>
      </w:r>
      <w:r w:rsidR="00033C1C">
        <w:rPr>
          <w:rFonts w:ascii="Times New Roman" w:hAnsi="Times New Roman" w:cs="Times New Roman"/>
          <w:sz w:val="24"/>
          <w:szCs w:val="24"/>
        </w:rPr>
        <w:t xml:space="preserve"> opt-out akceptujący wszelkie </w:t>
      </w:r>
      <w:r w:rsidRPr="00033C1C">
        <w:rPr>
          <w:rFonts w:ascii="Times New Roman" w:hAnsi="Times New Roman" w:cs="Times New Roman"/>
          <w:sz w:val="24"/>
          <w:szCs w:val="24"/>
        </w:rPr>
        <w:t>cookies, a tym samym nie będzie poinformowany (zgodnie z art. 5 § 3), a poinformowany ma zostać.</w:t>
      </w:r>
    </w:p>
    <w:p w:rsidR="00DC4D40" w:rsidRPr="00DC4D40" w:rsidRDefault="00DC4D40" w:rsidP="00DC4D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Stanowisko:</w:t>
      </w:r>
    </w:p>
    <w:p w:rsidR="00033C1C" w:rsidRDefault="00033C1C" w:rsidP="0017328A">
      <w:pPr>
        <w:spacing w:after="120" w:line="360" w:lineRule="auto"/>
        <w:ind w:firstLine="567"/>
        <w:jc w:val="both"/>
        <w:rPr>
          <w:rFonts w:ascii="Times New Roman" w:hAnsi="Times New Roman" w:cs="Times New Roman"/>
          <w:sz w:val="24"/>
          <w:szCs w:val="24"/>
        </w:rPr>
      </w:pPr>
      <w:r w:rsidRPr="0017328A">
        <w:rPr>
          <w:rFonts w:ascii="Times New Roman" w:hAnsi="Times New Roman" w:cs="Times New Roman"/>
          <w:sz w:val="24"/>
          <w:szCs w:val="24"/>
        </w:rPr>
        <w:t>W zakresie art. 5 § 3 istnieje zatem niejasność i t</w:t>
      </w:r>
      <w:r w:rsidR="0017328A" w:rsidRPr="0017328A">
        <w:rPr>
          <w:rFonts w:ascii="Times New Roman" w:hAnsi="Times New Roman" w:cs="Times New Roman"/>
          <w:sz w:val="24"/>
          <w:szCs w:val="24"/>
        </w:rPr>
        <w:t>en przepis wymaga doprecyzowania.</w:t>
      </w:r>
      <w:r w:rsidR="00DC4D40">
        <w:rPr>
          <w:rFonts w:ascii="Times New Roman" w:hAnsi="Times New Roman" w:cs="Times New Roman"/>
          <w:sz w:val="24"/>
          <w:szCs w:val="24"/>
        </w:rPr>
        <w:t xml:space="preserve"> Po pierwsze, należałoby wprowadzić w nim wyraźne odniesienie do możliwości stosowania cookies. Po drugie, należałoby przyjąć rozwiązanie, że stosowną informację na ten temat użytkownik może uzyskać w ustawieniach swojej przeglądarki internetowej, gdyż – zgodnie </w:t>
      </w:r>
      <w:r w:rsidR="00FC7E1D">
        <w:rPr>
          <w:rFonts w:ascii="Times New Roman" w:hAnsi="Times New Roman" w:cs="Times New Roman"/>
          <w:sz w:val="24"/>
          <w:szCs w:val="24"/>
        </w:rPr>
        <w:t>z ust.</w:t>
      </w:r>
      <w:r w:rsidR="00DC4D40">
        <w:rPr>
          <w:rFonts w:ascii="Times New Roman" w:hAnsi="Times New Roman" w:cs="Times New Roman"/>
          <w:sz w:val="24"/>
          <w:szCs w:val="24"/>
        </w:rPr>
        <w:t xml:space="preserve"> 52a – użytkownik może wyrazić zgodę na stosowanie cookies </w:t>
      </w:r>
      <w:r w:rsidR="00FC7E1D">
        <w:rPr>
          <w:rFonts w:ascii="Times New Roman" w:hAnsi="Times New Roman" w:cs="Times New Roman"/>
          <w:sz w:val="24"/>
          <w:szCs w:val="24"/>
        </w:rPr>
        <w:t>wybierając odpowiednią opcję.</w:t>
      </w:r>
    </w:p>
    <w:p w:rsidR="0017328A" w:rsidRPr="0017328A" w:rsidRDefault="0017328A" w:rsidP="0017328A">
      <w:pPr>
        <w:spacing w:after="120" w:line="360" w:lineRule="auto"/>
        <w:ind w:firstLine="567"/>
        <w:jc w:val="both"/>
        <w:rPr>
          <w:rFonts w:ascii="Times New Roman" w:hAnsi="Times New Roman" w:cs="Times New Roman"/>
          <w:sz w:val="24"/>
          <w:szCs w:val="24"/>
        </w:rPr>
      </w:pPr>
    </w:p>
    <w:p w:rsidR="001A6466" w:rsidRPr="0017328A" w:rsidRDefault="0017328A" w:rsidP="0017328A">
      <w:pPr>
        <w:pStyle w:val="Akapitzlist"/>
        <w:numPr>
          <w:ilvl w:val="0"/>
          <w:numId w:val="26"/>
        </w:numPr>
        <w:spacing w:after="120" w:line="360" w:lineRule="auto"/>
        <w:ind w:left="924" w:hanging="357"/>
        <w:rPr>
          <w:rFonts w:ascii="Times New Roman" w:eastAsia="Calibri" w:hAnsi="Times New Roman" w:cs="Times New Roman"/>
          <w:b/>
          <w:sz w:val="24"/>
          <w:szCs w:val="24"/>
        </w:rPr>
      </w:pPr>
      <w:r w:rsidRPr="0017328A">
        <w:rPr>
          <w:rFonts w:ascii="Times New Roman" w:eastAsia="Calibri" w:hAnsi="Times New Roman" w:cs="Times New Roman"/>
          <w:b/>
          <w:sz w:val="24"/>
          <w:szCs w:val="24"/>
        </w:rPr>
        <w:t>NEUTRALNOŚĆ SIECIOW</w:t>
      </w:r>
      <w:r>
        <w:rPr>
          <w:rFonts w:ascii="Times New Roman" w:eastAsia="Calibri" w:hAnsi="Times New Roman" w:cs="Times New Roman"/>
          <w:b/>
          <w:sz w:val="24"/>
          <w:szCs w:val="24"/>
        </w:rPr>
        <w:t>A</w:t>
      </w:r>
    </w:p>
    <w:p w:rsidR="0017328A" w:rsidRPr="0017328A" w:rsidRDefault="001A6466" w:rsidP="0017328A">
      <w:pPr>
        <w:spacing w:after="120" w:line="360" w:lineRule="auto"/>
        <w:ind w:firstLine="567"/>
        <w:jc w:val="both"/>
        <w:rPr>
          <w:rFonts w:ascii="Times New Roman" w:hAnsi="Times New Roman" w:cs="Times New Roman"/>
          <w:sz w:val="24"/>
          <w:szCs w:val="24"/>
        </w:rPr>
      </w:pPr>
      <w:r w:rsidRPr="0017328A">
        <w:rPr>
          <w:rFonts w:ascii="Times New Roman" w:hAnsi="Times New Roman" w:cs="Times New Roman"/>
          <w:sz w:val="24"/>
          <w:szCs w:val="24"/>
        </w:rPr>
        <w:t xml:space="preserve">Neutralność sieciowa </w:t>
      </w:r>
      <w:r w:rsidR="0017328A" w:rsidRPr="0017328A">
        <w:rPr>
          <w:rFonts w:ascii="Times New Roman" w:hAnsi="Times New Roman" w:cs="Times New Roman"/>
          <w:sz w:val="24"/>
          <w:szCs w:val="24"/>
        </w:rPr>
        <w:t>(w</w:t>
      </w:r>
      <w:r w:rsidRPr="0017328A">
        <w:rPr>
          <w:rFonts w:ascii="Times New Roman" w:hAnsi="Times New Roman" w:cs="Times New Roman"/>
          <w:sz w:val="24"/>
          <w:szCs w:val="24"/>
        </w:rPr>
        <w:t>edług Simona Hamptona</w:t>
      </w:r>
      <w:r w:rsidR="0017328A" w:rsidRPr="0017328A">
        <w:rPr>
          <w:rFonts w:ascii="Times New Roman" w:hAnsi="Times New Roman" w:cs="Times New Roman"/>
          <w:sz w:val="24"/>
          <w:szCs w:val="24"/>
        </w:rPr>
        <w:t xml:space="preserve"> z </w:t>
      </w:r>
      <w:r w:rsidRPr="0017328A">
        <w:rPr>
          <w:rFonts w:ascii="Times New Roman" w:hAnsi="Times New Roman" w:cs="Times New Roman"/>
          <w:sz w:val="24"/>
          <w:szCs w:val="24"/>
        </w:rPr>
        <w:t>FAEP)</w:t>
      </w:r>
      <w:r w:rsidR="0017328A" w:rsidRPr="0017328A">
        <w:rPr>
          <w:rFonts w:ascii="Times New Roman" w:hAnsi="Times New Roman" w:cs="Times New Roman"/>
          <w:sz w:val="24"/>
          <w:szCs w:val="24"/>
        </w:rPr>
        <w:t xml:space="preserve"> oznacza</w:t>
      </w:r>
      <w:r w:rsidRPr="0017328A">
        <w:rPr>
          <w:rFonts w:ascii="Times New Roman" w:hAnsi="Times New Roman" w:cs="Times New Roman"/>
          <w:sz w:val="24"/>
          <w:szCs w:val="24"/>
        </w:rPr>
        <w:t xml:space="preserve"> skierowany do podmiotów umożliwiających dostęp do Internetu zakaz różnicowana między pakietami przychodzącymi i wychodzącymi przez sieć, a pakietami przeznaczonymi docelowo dla transmisji poprzez Internet. W Stanach Zjednoczonych rozpoczęła się debata na ten temat po tym, jak niektórzy operatorzy (na przykład Google) zażądali opłat za „szybką ścieżkę”, która umożliwiłaby otrzymywanie przez użytkowników niezakłóconych usług przesyłowych (bez ryzyka zapychania skrzynek poczty elektronicznej lub zakłóceń w przeglądaniu stron internetowych). Problem polega na tym, że byłoby to podwójne naliczanie opłat, gdyż użytkownik już zapłacił za połączenie z Internetem. W praktyce, na konkurencyjnym rynku, nie byłoby łatwo operatorom wprowadzić w życie taki zamiar (czyli stosować podwójne </w:t>
      </w:r>
      <w:r w:rsidRPr="0017328A">
        <w:rPr>
          <w:rFonts w:ascii="Times New Roman" w:hAnsi="Times New Roman" w:cs="Times New Roman"/>
          <w:sz w:val="24"/>
          <w:szCs w:val="24"/>
        </w:rPr>
        <w:lastRenderedPageBreak/>
        <w:t>opłaty). Gdyby zdecydowali się na blokowanie/utrudnianie dostępu do popularnych witryn, traciliby klientów. W Stanach Zjednoczonych obowiązuje niewiele przepisów odnośnie konkurencji między operatorami i stąd zaniepokojenie zaistniałą sytuacją. Inaczej wygląda sprawa w Unii Europejskiej, gdzie pakiety telekomunikacyjne zawierają obietnice dodatkowych regulacji odnośnie administratorów sieci w celu zapewnienia żywej konkurencji między operatorami i to jest powód, dla którego Komisja Europejska nie umieściła w swych propozycjach praktycznie żadnych dodatkowych przepisów odnośnie neutralności sieciowej.</w:t>
      </w:r>
    </w:p>
    <w:p w:rsidR="001A6466" w:rsidRPr="0017328A" w:rsidRDefault="001A6466" w:rsidP="0017328A">
      <w:pPr>
        <w:spacing w:after="120" w:line="360" w:lineRule="auto"/>
        <w:ind w:firstLine="567"/>
        <w:jc w:val="both"/>
        <w:rPr>
          <w:rFonts w:ascii="Times New Roman" w:hAnsi="Times New Roman" w:cs="Times New Roman"/>
          <w:sz w:val="24"/>
          <w:szCs w:val="24"/>
        </w:rPr>
      </w:pPr>
      <w:r w:rsidRPr="0017328A">
        <w:rPr>
          <w:rFonts w:ascii="Times New Roman" w:hAnsi="Times New Roman" w:cs="Times New Roman"/>
          <w:sz w:val="24"/>
          <w:szCs w:val="24"/>
        </w:rPr>
        <w:t>Komisja Europejska nie zajęła żadnego stanowiska, uważa jednak, że zezwolenie dostarczycielom usług internetowych na różnicowanie między rodzajami świadczonych przez nich usług (lepsze łącza z wysokiej jakości treściami, na przykład audiowizualnymi) oraz nakłonienie dostarczycieli treści do płacenia za ich szybsze dostarczanie pomoże w rozwijaniu połączeń szerokopasmowych w Europie.</w:t>
      </w:r>
    </w:p>
    <w:p w:rsidR="0017328A" w:rsidRDefault="0017328A" w:rsidP="0017328A">
      <w:pPr>
        <w:spacing w:after="120" w:line="360" w:lineRule="auto"/>
        <w:ind w:firstLine="567"/>
        <w:jc w:val="both"/>
        <w:rPr>
          <w:rFonts w:ascii="Times New Roman" w:hAnsi="Times New Roman" w:cs="Times New Roman"/>
          <w:sz w:val="24"/>
          <w:szCs w:val="24"/>
        </w:rPr>
      </w:pPr>
      <w:r w:rsidRPr="0017328A">
        <w:rPr>
          <w:rFonts w:ascii="Times New Roman" w:hAnsi="Times New Roman" w:cs="Times New Roman"/>
          <w:sz w:val="24"/>
          <w:szCs w:val="24"/>
        </w:rPr>
        <w:t>P</w:t>
      </w:r>
      <w:r w:rsidR="00FC7E1D">
        <w:rPr>
          <w:rFonts w:ascii="Times New Roman" w:hAnsi="Times New Roman" w:cs="Times New Roman"/>
          <w:sz w:val="24"/>
          <w:szCs w:val="24"/>
        </w:rPr>
        <w:t>odczas głosowania 6. maja, PE w</w:t>
      </w:r>
      <w:r w:rsidRPr="0017328A">
        <w:rPr>
          <w:rFonts w:ascii="Times New Roman" w:hAnsi="Times New Roman" w:cs="Times New Roman"/>
          <w:sz w:val="24"/>
          <w:szCs w:val="24"/>
        </w:rPr>
        <w:t>prowadził zmianę, którą należy ocenić jako niezadowalającą. Z regulującego kwestię</w:t>
      </w:r>
      <w:r w:rsidR="00FC7E1D">
        <w:rPr>
          <w:rFonts w:ascii="Times New Roman" w:hAnsi="Times New Roman" w:cs="Times New Roman"/>
          <w:sz w:val="24"/>
          <w:szCs w:val="24"/>
        </w:rPr>
        <w:t xml:space="preserve"> „neutralności sieciowej” – ust.</w:t>
      </w:r>
      <w:r w:rsidRPr="0017328A">
        <w:rPr>
          <w:rFonts w:ascii="Times New Roman" w:hAnsi="Times New Roman" w:cs="Times New Roman"/>
          <w:sz w:val="24"/>
          <w:szCs w:val="24"/>
        </w:rPr>
        <w:t xml:space="preserve"> 26 usunięto bowiem wcześniej ustalone odwołanie, mówiące o zakazie preferencyjnego traktowania przez operatorów sieciowych swoich własnych usług lub aplikacji lub usług i aplikacji ich komercyjnych partnerów. Pozytywnie ocenić można jednak odniesienia do nieograniczania konkurencji czy też wymogów minimalnej jakości, jakie mogą nałożyć krajowe organy regulujące</w:t>
      </w:r>
      <w:r w:rsidRPr="0017328A">
        <w:rPr>
          <w:rFonts w:ascii="Times New Roman" w:hAnsi="Times New Roman" w:cs="Times New Roman"/>
          <w:sz w:val="24"/>
          <w:szCs w:val="24"/>
          <w:vertAlign w:val="superscript"/>
        </w:rPr>
        <w:footnoteReference w:id="11"/>
      </w:r>
      <w:r w:rsidRPr="0017328A">
        <w:rPr>
          <w:rFonts w:ascii="Times New Roman" w:hAnsi="Times New Roman" w:cs="Times New Roman"/>
          <w:sz w:val="24"/>
          <w:szCs w:val="24"/>
        </w:rPr>
        <w:t>. W tym miejscu warto byłoby dopisać poprzednie odniesienie.</w:t>
      </w:r>
    </w:p>
    <w:p w:rsidR="00C932D3" w:rsidRDefault="00C932D3" w:rsidP="00081BBF">
      <w:pPr>
        <w:spacing w:after="120" w:line="360" w:lineRule="auto"/>
        <w:ind w:firstLine="567"/>
        <w:jc w:val="both"/>
        <w:rPr>
          <w:rFonts w:ascii="Times New Roman" w:hAnsi="Times New Roman" w:cs="Times New Roman"/>
          <w:sz w:val="24"/>
          <w:szCs w:val="24"/>
        </w:rPr>
      </w:pPr>
    </w:p>
    <w:p w:rsidR="00081BBF" w:rsidRDefault="0017328A" w:rsidP="00081BBF">
      <w:pPr>
        <w:spacing w:after="120" w:line="360" w:lineRule="auto"/>
        <w:ind w:firstLine="567"/>
        <w:jc w:val="both"/>
        <w:rPr>
          <w:rFonts w:ascii="Times New Roman" w:hAnsi="Times New Roman" w:cs="Times New Roman"/>
          <w:sz w:val="24"/>
          <w:szCs w:val="24"/>
        </w:rPr>
      </w:pPr>
      <w:r w:rsidRPr="0017328A">
        <w:rPr>
          <w:rFonts w:ascii="Times New Roman" w:hAnsi="Times New Roman" w:cs="Times New Roman"/>
          <w:sz w:val="24"/>
          <w:szCs w:val="24"/>
        </w:rPr>
        <w:t xml:space="preserve">Podczas głosowania nad „Pakietem Telekomunikacyjnym” Parlament przywrócił własna poprawkę z pierwszego czytania, mówiącą o tym, że nie można ograniczać </w:t>
      </w:r>
      <w:r w:rsidRPr="0017328A">
        <w:rPr>
          <w:rFonts w:ascii="Times New Roman" w:hAnsi="Times New Roman" w:cs="Times New Roman"/>
          <w:sz w:val="24"/>
          <w:szCs w:val="24"/>
        </w:rPr>
        <w:lastRenderedPageBreak/>
        <w:t>podstawowych praw i wolności użytkowników końcowych – czyli np. wyłącza</w:t>
      </w:r>
      <w:r w:rsidR="00081BBF">
        <w:rPr>
          <w:rFonts w:ascii="Times New Roman" w:hAnsi="Times New Roman" w:cs="Times New Roman"/>
          <w:sz w:val="24"/>
          <w:szCs w:val="24"/>
        </w:rPr>
        <w:t xml:space="preserve">ć dostępność do danych stron – </w:t>
      </w:r>
      <w:r w:rsidRPr="0017328A">
        <w:rPr>
          <w:rFonts w:ascii="Times New Roman" w:hAnsi="Times New Roman" w:cs="Times New Roman"/>
          <w:sz w:val="24"/>
          <w:szCs w:val="24"/>
        </w:rPr>
        <w:t>bez stosownego uprzedniego orzeczenia organu sądoweg</w:t>
      </w:r>
      <w:r w:rsidR="00851504">
        <w:rPr>
          <w:rFonts w:ascii="Times New Roman" w:hAnsi="Times New Roman" w:cs="Times New Roman"/>
          <w:sz w:val="24"/>
          <w:szCs w:val="24"/>
        </w:rPr>
        <w:t xml:space="preserve">o. PE powołuje się przy tym na </w:t>
      </w:r>
      <w:r w:rsidRPr="0017328A">
        <w:rPr>
          <w:rFonts w:ascii="Times New Roman" w:hAnsi="Times New Roman" w:cs="Times New Roman"/>
          <w:sz w:val="24"/>
          <w:szCs w:val="24"/>
        </w:rPr>
        <w:t>art. 11 Karty Praw Podstawowych UE, który dotyczy wolności wypowiedzi i prawa do informacji. Jedynym wyjątkiem od tej zasady może być sytuacja, w której zagrożone jest bezpieczeństwo publiczne – wtedy to orzeczenie może zostać wydane później (art. 8 § 4 pkt h).</w:t>
      </w:r>
    </w:p>
    <w:p w:rsidR="00CA3C58" w:rsidRDefault="0017328A" w:rsidP="00081BBF">
      <w:pPr>
        <w:spacing w:after="120" w:line="360" w:lineRule="auto"/>
        <w:ind w:firstLine="567"/>
        <w:jc w:val="both"/>
        <w:rPr>
          <w:rFonts w:ascii="Times New Roman" w:hAnsi="Times New Roman" w:cs="Times New Roman"/>
          <w:sz w:val="24"/>
          <w:szCs w:val="24"/>
        </w:rPr>
      </w:pPr>
      <w:r w:rsidRPr="00081BBF">
        <w:rPr>
          <w:rFonts w:ascii="Times New Roman" w:hAnsi="Times New Roman" w:cs="Times New Roman"/>
          <w:sz w:val="24"/>
          <w:szCs w:val="24"/>
        </w:rPr>
        <w:t>Przyjmując ponownie tę poprawkę, która odrzuciła Rada,</w:t>
      </w:r>
      <w:r w:rsidR="00081BBF">
        <w:rPr>
          <w:rFonts w:ascii="Times New Roman" w:hAnsi="Times New Roman" w:cs="Times New Roman"/>
          <w:sz w:val="24"/>
          <w:szCs w:val="24"/>
        </w:rPr>
        <w:t xml:space="preserve"> </w:t>
      </w:r>
      <w:r w:rsidR="00CA3C58" w:rsidRPr="00081BBF">
        <w:rPr>
          <w:rFonts w:ascii="Times New Roman" w:hAnsi="Times New Roman" w:cs="Times New Roman"/>
          <w:sz w:val="24"/>
          <w:szCs w:val="24"/>
        </w:rPr>
        <w:t>PE zmienił wstępne porozumienie zawarte z krajami członkowskimi.</w:t>
      </w:r>
      <w:r w:rsidR="00081BBF">
        <w:rPr>
          <w:rFonts w:ascii="Times New Roman" w:hAnsi="Times New Roman" w:cs="Times New Roman"/>
          <w:sz w:val="24"/>
          <w:szCs w:val="24"/>
        </w:rPr>
        <w:t xml:space="preserve"> Z tego tez powodu i </w:t>
      </w:r>
      <w:r w:rsidR="00CA3C58" w:rsidRPr="00081BBF">
        <w:rPr>
          <w:rFonts w:ascii="Times New Roman" w:hAnsi="Times New Roman" w:cs="Times New Roman"/>
          <w:sz w:val="24"/>
          <w:szCs w:val="24"/>
        </w:rPr>
        <w:t xml:space="preserve">ze względu na fakt, iż wszystkie elementy </w:t>
      </w:r>
      <w:r w:rsidR="00081BBF" w:rsidRPr="00081BBF">
        <w:rPr>
          <w:rFonts w:ascii="Times New Roman" w:hAnsi="Times New Roman" w:cs="Times New Roman"/>
          <w:sz w:val="24"/>
          <w:szCs w:val="24"/>
        </w:rPr>
        <w:t>„</w:t>
      </w:r>
      <w:r w:rsidR="00CA3C58" w:rsidRPr="00081BBF">
        <w:rPr>
          <w:rFonts w:ascii="Times New Roman" w:hAnsi="Times New Roman" w:cs="Times New Roman"/>
          <w:sz w:val="24"/>
          <w:szCs w:val="24"/>
        </w:rPr>
        <w:t>pakietu</w:t>
      </w:r>
      <w:r w:rsidR="00081BBF" w:rsidRPr="00081BBF">
        <w:rPr>
          <w:rFonts w:ascii="Times New Roman" w:hAnsi="Times New Roman" w:cs="Times New Roman"/>
          <w:sz w:val="24"/>
          <w:szCs w:val="24"/>
        </w:rPr>
        <w:t>”</w:t>
      </w:r>
      <w:r w:rsidR="00CA3C58" w:rsidRPr="00081BBF">
        <w:rPr>
          <w:rFonts w:ascii="Times New Roman" w:hAnsi="Times New Roman" w:cs="Times New Roman"/>
          <w:sz w:val="24"/>
          <w:szCs w:val="24"/>
        </w:rPr>
        <w:t xml:space="preserve"> są ze sobą związane, dalsze prace legislacyjne </w:t>
      </w:r>
      <w:r w:rsidR="00081BBF" w:rsidRPr="00081BBF">
        <w:rPr>
          <w:rFonts w:ascii="Times New Roman" w:hAnsi="Times New Roman" w:cs="Times New Roman"/>
          <w:sz w:val="24"/>
          <w:szCs w:val="24"/>
        </w:rPr>
        <w:t xml:space="preserve">prowadzone będą nad </w:t>
      </w:r>
      <w:r w:rsidR="00CA3C58" w:rsidRPr="00081BBF">
        <w:rPr>
          <w:rFonts w:ascii="Times New Roman" w:hAnsi="Times New Roman" w:cs="Times New Roman"/>
          <w:sz w:val="24"/>
          <w:szCs w:val="24"/>
        </w:rPr>
        <w:t xml:space="preserve">całym </w:t>
      </w:r>
      <w:r w:rsidR="00081BBF" w:rsidRPr="00081BBF">
        <w:rPr>
          <w:rFonts w:ascii="Times New Roman" w:hAnsi="Times New Roman" w:cs="Times New Roman"/>
          <w:sz w:val="24"/>
          <w:szCs w:val="24"/>
        </w:rPr>
        <w:t>„</w:t>
      </w:r>
      <w:r w:rsidR="00CA3C58" w:rsidRPr="00081BBF">
        <w:rPr>
          <w:rFonts w:ascii="Times New Roman" w:hAnsi="Times New Roman" w:cs="Times New Roman"/>
          <w:sz w:val="24"/>
          <w:szCs w:val="24"/>
        </w:rPr>
        <w:t>pakietem</w:t>
      </w:r>
      <w:r w:rsidR="00081BBF" w:rsidRPr="00081BBF">
        <w:rPr>
          <w:rFonts w:ascii="Times New Roman" w:hAnsi="Times New Roman" w:cs="Times New Roman"/>
          <w:sz w:val="24"/>
          <w:szCs w:val="24"/>
        </w:rPr>
        <w:t>” w tzw. procedurze pojednawczej. Oznacza to,</w:t>
      </w:r>
      <w:r w:rsidR="00CA3C58" w:rsidRPr="00081BBF">
        <w:rPr>
          <w:rFonts w:ascii="Times New Roman" w:hAnsi="Times New Roman" w:cs="Times New Roman"/>
          <w:sz w:val="24"/>
          <w:szCs w:val="24"/>
        </w:rPr>
        <w:t xml:space="preserve"> że przedstawiciele PE, KE i RE spróbują znaleźć wspólne rozwiązanie, które byłoby do przyjęcia przez wszystkie strony. Rysują się dwie możliwości:</w:t>
      </w:r>
      <w:r w:rsidR="00081BBF">
        <w:rPr>
          <w:rFonts w:ascii="Times New Roman" w:hAnsi="Times New Roman" w:cs="Times New Roman"/>
          <w:sz w:val="24"/>
          <w:szCs w:val="24"/>
        </w:rPr>
        <w:t xml:space="preserve"> 1) </w:t>
      </w:r>
      <w:r w:rsidR="00CA3C58" w:rsidRPr="00081BBF">
        <w:rPr>
          <w:rFonts w:ascii="Times New Roman" w:hAnsi="Times New Roman" w:cs="Times New Roman"/>
          <w:sz w:val="24"/>
          <w:szCs w:val="24"/>
        </w:rPr>
        <w:t xml:space="preserve">Jeśli komisja pojednawcza nie </w:t>
      </w:r>
      <w:r w:rsidR="00081BBF" w:rsidRPr="00081BBF">
        <w:rPr>
          <w:rFonts w:ascii="Times New Roman" w:hAnsi="Times New Roman" w:cs="Times New Roman"/>
          <w:sz w:val="24"/>
          <w:szCs w:val="24"/>
        </w:rPr>
        <w:t>osiągnie</w:t>
      </w:r>
      <w:r w:rsidR="00CA3C58" w:rsidRPr="00081BBF">
        <w:rPr>
          <w:rFonts w:ascii="Times New Roman" w:hAnsi="Times New Roman" w:cs="Times New Roman"/>
          <w:sz w:val="24"/>
          <w:szCs w:val="24"/>
        </w:rPr>
        <w:t xml:space="preserve"> kompromisu – propozycja zostaje wycofana (całkowicie odrzucona), proces kończy się;</w:t>
      </w:r>
      <w:r w:rsidR="00081BBF" w:rsidRPr="00081BBF">
        <w:rPr>
          <w:rFonts w:ascii="Times New Roman" w:hAnsi="Times New Roman" w:cs="Times New Roman"/>
          <w:sz w:val="24"/>
          <w:szCs w:val="24"/>
        </w:rPr>
        <w:t xml:space="preserve"> 2) </w:t>
      </w:r>
      <w:r w:rsidR="00CA3C58" w:rsidRPr="00081BBF">
        <w:rPr>
          <w:rFonts w:ascii="Times New Roman" w:hAnsi="Times New Roman" w:cs="Times New Roman"/>
          <w:sz w:val="24"/>
          <w:szCs w:val="24"/>
        </w:rPr>
        <w:t xml:space="preserve">Jeśli osiągnie się kompromis i zaproponuje konkretny tekst, to trafia on do RE i PE i oba organy musza ten tekst zaaprobować (wtedy wchodzi on w życie) – w przeciwnym razie kończy się </w:t>
      </w:r>
      <w:r w:rsidR="00081BBF" w:rsidRPr="00081BBF">
        <w:rPr>
          <w:rFonts w:ascii="Times New Roman" w:hAnsi="Times New Roman" w:cs="Times New Roman"/>
          <w:sz w:val="24"/>
          <w:szCs w:val="24"/>
        </w:rPr>
        <w:t xml:space="preserve">tak, </w:t>
      </w:r>
      <w:r w:rsidR="00CA3C58" w:rsidRPr="00081BBF">
        <w:rPr>
          <w:rFonts w:ascii="Times New Roman" w:hAnsi="Times New Roman" w:cs="Times New Roman"/>
          <w:sz w:val="24"/>
          <w:szCs w:val="24"/>
        </w:rPr>
        <w:t>jak w pkt.</w:t>
      </w:r>
      <w:r w:rsidR="00081BBF" w:rsidRPr="00081BBF">
        <w:rPr>
          <w:rFonts w:ascii="Times New Roman" w:hAnsi="Times New Roman" w:cs="Times New Roman"/>
          <w:sz w:val="24"/>
          <w:szCs w:val="24"/>
        </w:rPr>
        <w:t xml:space="preserve"> </w:t>
      </w:r>
      <w:r w:rsidR="00CA3C58" w:rsidRPr="00081BBF">
        <w:rPr>
          <w:rFonts w:ascii="Times New Roman" w:hAnsi="Times New Roman" w:cs="Times New Roman"/>
          <w:sz w:val="24"/>
          <w:szCs w:val="24"/>
        </w:rPr>
        <w:t>1</w:t>
      </w:r>
      <w:r w:rsidR="00081BBF" w:rsidRPr="00081BBF">
        <w:rPr>
          <w:rFonts w:ascii="Times New Roman" w:hAnsi="Times New Roman" w:cs="Times New Roman"/>
          <w:sz w:val="24"/>
          <w:szCs w:val="24"/>
        </w:rPr>
        <w:t>).</w:t>
      </w:r>
    </w:p>
    <w:p w:rsidR="00FC7E1D" w:rsidRPr="00FC7E1D" w:rsidRDefault="00FC7E1D" w:rsidP="00FC7E1D">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Stanowisko:</w:t>
      </w:r>
    </w:p>
    <w:p w:rsidR="00081BBF" w:rsidRPr="00081BBF" w:rsidRDefault="00081BBF" w:rsidP="00081BBF">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Należy </w:t>
      </w:r>
      <w:r w:rsidR="00CC7B57">
        <w:rPr>
          <w:rFonts w:ascii="Times New Roman" w:hAnsi="Times New Roman" w:cs="Times New Roman"/>
          <w:sz w:val="24"/>
          <w:szCs w:val="24"/>
        </w:rPr>
        <w:t>dążyć do tego</w:t>
      </w:r>
      <w:r>
        <w:rPr>
          <w:rFonts w:ascii="Times New Roman" w:hAnsi="Times New Roman" w:cs="Times New Roman"/>
          <w:sz w:val="24"/>
          <w:szCs w:val="24"/>
        </w:rPr>
        <w:t>, by w trakcie prowadzenia procedury pojednawczej uściślić – zgodnie z przedstawionymi powyżej argumentami</w:t>
      </w:r>
      <w:r w:rsidR="00FC7E1D">
        <w:rPr>
          <w:rFonts w:ascii="Times New Roman" w:hAnsi="Times New Roman" w:cs="Times New Roman"/>
          <w:sz w:val="24"/>
          <w:szCs w:val="24"/>
        </w:rPr>
        <w:t xml:space="preserve"> i rozwiązaniami</w:t>
      </w:r>
      <w:r>
        <w:rPr>
          <w:rFonts w:ascii="Times New Roman" w:hAnsi="Times New Roman" w:cs="Times New Roman"/>
          <w:sz w:val="24"/>
          <w:szCs w:val="24"/>
        </w:rPr>
        <w:t xml:space="preserve"> – zapisy dot. stosowania cookies oraz uzupełnić ustęp dot. neutralności sieciowej.</w:t>
      </w:r>
    </w:p>
    <w:p w:rsidR="00CA3C58" w:rsidRPr="00CA3C58" w:rsidRDefault="00CA3C58" w:rsidP="00CA3C58">
      <w:pPr>
        <w:spacing w:before="60"/>
        <w:jc w:val="both"/>
        <w:rPr>
          <w:sz w:val="20"/>
          <w:szCs w:val="20"/>
        </w:rPr>
      </w:pPr>
    </w:p>
    <w:p w:rsidR="00465857" w:rsidRDefault="00465857" w:rsidP="00081BBF">
      <w:pPr>
        <w:pStyle w:val="Akapitzlist"/>
        <w:numPr>
          <w:ilvl w:val="0"/>
          <w:numId w:val="8"/>
        </w:numPr>
        <w:spacing w:after="120" w:line="360" w:lineRule="auto"/>
        <w:rPr>
          <w:rFonts w:ascii="Times New Roman" w:hAnsi="Times New Roman" w:cs="Times New Roman"/>
          <w:b/>
          <w:sz w:val="24"/>
          <w:szCs w:val="24"/>
        </w:rPr>
      </w:pPr>
      <w:r>
        <w:rPr>
          <w:rFonts w:ascii="Times New Roman" w:hAnsi="Times New Roman" w:cs="Times New Roman"/>
          <w:b/>
          <w:sz w:val="24"/>
          <w:szCs w:val="24"/>
        </w:rPr>
        <w:t>CONSUMER ACQUIS</w:t>
      </w:r>
    </w:p>
    <w:p w:rsidR="004B2E0E" w:rsidRDefault="004B2E0E" w:rsidP="00FC7E1D">
      <w:pPr>
        <w:pStyle w:val="Default"/>
        <w:spacing w:after="120" w:line="360" w:lineRule="auto"/>
        <w:ind w:firstLine="567"/>
        <w:jc w:val="both"/>
        <w:rPr>
          <w:sz w:val="23"/>
          <w:szCs w:val="23"/>
        </w:rPr>
      </w:pPr>
      <w:r>
        <w:rPr>
          <w:sz w:val="23"/>
          <w:szCs w:val="23"/>
        </w:rPr>
        <w:t>Zdaniem KE, w kontaktach związanych ze sprzedażą ponadgraniczną w sieci konsumenci nie mają zaufania do przedstawicieli biznesu i nie rozumieją skomplikowanych i niejasnych zasad dotyczących takiej sprzedaży. Z tego powodu, w lutym 2007 roku KE opublikowała Zieloną Księgę</w:t>
      </w:r>
      <w:r>
        <w:rPr>
          <w:rStyle w:val="Odwoanieprzypisudolnego"/>
          <w:sz w:val="23"/>
          <w:szCs w:val="23"/>
        </w:rPr>
        <w:footnoteReference w:id="12"/>
      </w:r>
      <w:r>
        <w:rPr>
          <w:sz w:val="23"/>
          <w:szCs w:val="23"/>
        </w:rPr>
        <w:t xml:space="preserve"> i rozpoczęła konsultacje z interesariuszami w sprawie 8 dyrektyw konsumenckich. Celem tych konsultacji ma być przystosowanie regulacji do specyficznych warunków panujących w sieci internetowej. Dyrektywy te są dotychczas zharmonizowane w minimalnym stopniu, czego efektem jest fakt, iż standardy panujące w krajach członkowskich są często bardzo rozbieżne.</w:t>
      </w:r>
    </w:p>
    <w:p w:rsidR="004B2E0E" w:rsidRDefault="004B2E0E" w:rsidP="00C932D3">
      <w:pPr>
        <w:pStyle w:val="Default"/>
        <w:spacing w:after="120" w:line="360" w:lineRule="auto"/>
        <w:ind w:firstLine="567"/>
        <w:jc w:val="both"/>
        <w:rPr>
          <w:sz w:val="23"/>
          <w:szCs w:val="23"/>
        </w:rPr>
      </w:pPr>
      <w:r w:rsidRPr="004B2E0E">
        <w:lastRenderedPageBreak/>
        <w:t>Komisja Europejska</w:t>
      </w:r>
      <w:r>
        <w:t xml:space="preserve"> </w:t>
      </w:r>
      <w:r w:rsidRPr="004B2E0E">
        <w:t>zatrudniła zewnętrznego konsultanta</w:t>
      </w:r>
      <w:r>
        <w:t xml:space="preserve"> </w:t>
      </w:r>
      <w:r w:rsidRPr="004B2E0E">
        <w:t>– Konsorcjum Ewaluacji Polityki</w:t>
      </w:r>
      <w:r>
        <w:t xml:space="preserve"> </w:t>
      </w:r>
      <w:r w:rsidRPr="004B2E0E">
        <w:t>Konsumenckiej (the Consumer</w:t>
      </w:r>
      <w:r>
        <w:t xml:space="preserve"> </w:t>
      </w:r>
      <w:r w:rsidRPr="004B2E0E">
        <w:t xml:space="preserve">Policy Evaluation Consortium </w:t>
      </w:r>
      <w:r>
        <w:t xml:space="preserve">– </w:t>
      </w:r>
      <w:r w:rsidRPr="004B2E0E">
        <w:t>CPEC), którego zadaniem jest przedstawienie</w:t>
      </w:r>
      <w:r>
        <w:t xml:space="preserve"> </w:t>
      </w:r>
      <w:r w:rsidRPr="004B2E0E">
        <w:t>prognozy oddziaływania</w:t>
      </w:r>
      <w:r>
        <w:t xml:space="preserve"> </w:t>
      </w:r>
      <w:r w:rsidRPr="004B2E0E">
        <w:t>proponowanych w trakcie publicznych</w:t>
      </w:r>
      <w:r>
        <w:t xml:space="preserve"> </w:t>
      </w:r>
      <w:r w:rsidRPr="004B2E0E">
        <w:t>konsultacji zmian. W tym celu</w:t>
      </w:r>
      <w:r>
        <w:t xml:space="preserve"> </w:t>
      </w:r>
      <w:r w:rsidRPr="004B2E0E">
        <w:t>do zainteresowanych podmiotów</w:t>
      </w:r>
      <w:r>
        <w:t xml:space="preserve"> </w:t>
      </w:r>
      <w:r w:rsidRPr="004B2E0E">
        <w:t>została rozesłana ankieta zawierając</w:t>
      </w:r>
      <w:r>
        <w:t xml:space="preserve"> </w:t>
      </w:r>
      <w:r w:rsidRPr="004B2E0E">
        <w:t>szereg pytań, z których tylko kilka</w:t>
      </w:r>
      <w:r>
        <w:t xml:space="preserve"> </w:t>
      </w:r>
      <w:r w:rsidRPr="004B2E0E">
        <w:t>dotyczy</w:t>
      </w:r>
      <w:r>
        <w:t>ło</w:t>
      </w:r>
      <w:r w:rsidRPr="004B2E0E">
        <w:t xml:space="preserve"> rynku prasowego.</w:t>
      </w:r>
      <w:r>
        <w:t xml:space="preserve"> Europejscy przedstawiciele </w:t>
      </w:r>
      <w:r w:rsidR="00FC7E1D">
        <w:t>w</w:t>
      </w:r>
      <w:r>
        <w:t>ydawców wzięli udział w tych konsultacjach.</w:t>
      </w:r>
    </w:p>
    <w:p w:rsidR="004B2E0E" w:rsidRDefault="004B2E0E" w:rsidP="00C932D3">
      <w:pPr>
        <w:pStyle w:val="Default"/>
        <w:spacing w:after="120" w:line="360" w:lineRule="auto"/>
        <w:ind w:firstLine="567"/>
        <w:jc w:val="both"/>
        <w:rPr>
          <w:sz w:val="23"/>
          <w:szCs w:val="23"/>
        </w:rPr>
      </w:pPr>
      <w:r>
        <w:rPr>
          <w:sz w:val="23"/>
          <w:szCs w:val="23"/>
        </w:rPr>
        <w:t>W wyniku przeprowadzonych konsultacji, Komisja zaprezentowała w październiku nową dyrektywę związaną z prawami konsumenta, łączącą dotychczas obowiązujące 4 dyrektywy dot. sprzedaży na odległość (tzw. distance selling</w:t>
      </w:r>
      <w:r>
        <w:rPr>
          <w:rStyle w:val="Odwoanieprzypisudolnego"/>
          <w:sz w:val="23"/>
          <w:szCs w:val="23"/>
        </w:rPr>
        <w:footnoteReference w:id="13"/>
      </w:r>
      <w:r>
        <w:rPr>
          <w:sz w:val="23"/>
          <w:szCs w:val="23"/>
        </w:rPr>
        <w:t>, obejmujące m.in. Internet i telefony), sprzedaży u drzwi klienta (doorstep selling</w:t>
      </w:r>
      <w:r>
        <w:rPr>
          <w:rStyle w:val="Odwoanieprzypisudolnego"/>
          <w:sz w:val="23"/>
          <w:szCs w:val="23"/>
        </w:rPr>
        <w:footnoteReference w:id="14"/>
      </w:r>
      <w:r>
        <w:rPr>
          <w:sz w:val="23"/>
          <w:szCs w:val="23"/>
        </w:rPr>
        <w:t>), sprzedaży dóbr konsumenckich i gwarancji oraz nieuczciwych warunków umowy.</w:t>
      </w:r>
    </w:p>
    <w:p w:rsidR="003F4056" w:rsidRDefault="003F4056" w:rsidP="003F4056">
      <w:pPr>
        <w:pStyle w:val="Default"/>
        <w:spacing w:after="120" w:line="360" w:lineRule="auto"/>
        <w:ind w:firstLine="567"/>
        <w:jc w:val="both"/>
        <w:rPr>
          <w:sz w:val="23"/>
          <w:szCs w:val="23"/>
        </w:rPr>
      </w:pPr>
      <w:r>
        <w:rPr>
          <w:sz w:val="23"/>
          <w:szCs w:val="23"/>
        </w:rPr>
        <w:t>Ze względu na wagę proponowanych zmian i zbliżające się wybory, członkowie PE, by nie pracować pod presją czasu, zdecydowali się na przełożenie prac w tym zakresie na jesień. Zagadnieniem tym zajmuje się także grupa robocza ds. konkurencyjności Rady Europejskiej. Grupa znajduje się obecnie w tzw. procesie „pierwszego czytania”, podczas którego państwa członkowskie mają możliwość wyrażania swoich opinii i żądania uzasadniania i precyzowania konkretnych zapisów. Wspólne stanowisko Rady pojawi się najwcześniej podczas prezydencji hiszpańskiej w przyszłym roku.</w:t>
      </w:r>
    </w:p>
    <w:p w:rsidR="00276FE8" w:rsidRPr="00276FE8" w:rsidRDefault="00276FE8" w:rsidP="00276FE8">
      <w:pPr>
        <w:pStyle w:val="Default"/>
        <w:spacing w:after="120" w:line="360" w:lineRule="auto"/>
        <w:jc w:val="both"/>
        <w:rPr>
          <w:b/>
          <w:sz w:val="23"/>
          <w:szCs w:val="23"/>
        </w:rPr>
      </w:pPr>
      <w:r>
        <w:rPr>
          <w:b/>
          <w:sz w:val="23"/>
          <w:szCs w:val="23"/>
        </w:rPr>
        <w:t>Stanowisko:</w:t>
      </w:r>
    </w:p>
    <w:p w:rsidR="004B2E0E" w:rsidRDefault="004B2E0E" w:rsidP="00C932D3">
      <w:pPr>
        <w:pStyle w:val="Default"/>
        <w:spacing w:after="120" w:line="360" w:lineRule="auto"/>
        <w:ind w:firstLine="567"/>
        <w:jc w:val="both"/>
        <w:rPr>
          <w:sz w:val="23"/>
          <w:szCs w:val="23"/>
        </w:rPr>
      </w:pPr>
      <w:r>
        <w:rPr>
          <w:sz w:val="23"/>
          <w:szCs w:val="23"/>
        </w:rPr>
        <w:t>W propozycji, którą generalnie można ocenić pozytywnie, ist</w:t>
      </w:r>
      <w:r w:rsidR="004F5B15">
        <w:rPr>
          <w:sz w:val="23"/>
          <w:szCs w:val="23"/>
        </w:rPr>
        <w:t>nieje kilka zagadnień, które</w:t>
      </w:r>
      <w:r>
        <w:rPr>
          <w:sz w:val="23"/>
          <w:szCs w:val="23"/>
        </w:rPr>
        <w:t xml:space="preserve"> </w:t>
      </w:r>
      <w:r w:rsidR="00276FE8">
        <w:rPr>
          <w:sz w:val="23"/>
          <w:szCs w:val="23"/>
        </w:rPr>
        <w:t xml:space="preserve">budzą zaniepokojenie wydawców bądź </w:t>
      </w:r>
      <w:r w:rsidR="004F5B15">
        <w:rPr>
          <w:sz w:val="23"/>
          <w:szCs w:val="23"/>
        </w:rPr>
        <w:t>wymagają pozytyw</w:t>
      </w:r>
      <w:r w:rsidR="00CC7B57">
        <w:rPr>
          <w:sz w:val="23"/>
          <w:szCs w:val="23"/>
        </w:rPr>
        <w:t>nych rozstrzygnięć:</w:t>
      </w:r>
    </w:p>
    <w:p w:rsidR="004B2E0E"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d</w:t>
      </w:r>
      <w:r w:rsidR="004B2E0E" w:rsidRPr="003F4056">
        <w:rPr>
          <w:color w:val="auto"/>
          <w:sz w:val="23"/>
          <w:szCs w:val="23"/>
        </w:rPr>
        <w:t>efinicja „konsumenta” obejmuje każdą osobę fizyczną, działającą dla celów nie należących do jej działalności handlowej, biznesowej, rękodzielniczej lub zawodowej.</w:t>
      </w:r>
      <w:r w:rsidR="00276FE8" w:rsidRPr="003F4056">
        <w:rPr>
          <w:color w:val="auto"/>
          <w:sz w:val="23"/>
          <w:szCs w:val="23"/>
        </w:rPr>
        <w:t xml:space="preserve"> Taka definicja jest zasadna, pojawiają się jednak głosy, sugerujące iż należałoby ją rozszerzyć,</w:t>
      </w:r>
      <w:r>
        <w:rPr>
          <w:color w:val="auto"/>
          <w:sz w:val="23"/>
          <w:szCs w:val="23"/>
        </w:rPr>
        <w:t xml:space="preserve"> co wydaje się nie do przyjęcia;</w:t>
      </w:r>
    </w:p>
    <w:p w:rsidR="00276FE8"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r</w:t>
      </w:r>
      <w:r w:rsidR="004B2E0E" w:rsidRPr="003F4056">
        <w:rPr>
          <w:color w:val="auto"/>
          <w:sz w:val="23"/>
          <w:szCs w:val="23"/>
        </w:rPr>
        <w:t>ozszerzono definicję tzw. doorstep selling na wszelkie umowy zawierane bądź negocjowane poza przedstawicielstwem firmy</w:t>
      </w:r>
      <w:r w:rsidR="00276FE8" w:rsidRPr="003F4056">
        <w:rPr>
          <w:color w:val="auto"/>
          <w:sz w:val="23"/>
          <w:szCs w:val="23"/>
        </w:rPr>
        <w:t xml:space="preserve">. Dotychczas „doorstep selling” dotyczyło tylko ochrony konsumenta, który został „zaskoczony” przez sprzedawcę u progu własnego mieszkania. Ta specjalna sytuacja wymagała ochrony konsumenta. Obecnie definicja obejmuje sprzedaż w każdym miejscu, które nie jest typowym sklepem, a więc </w:t>
      </w:r>
      <w:r w:rsidR="00276FE8" w:rsidRPr="003F4056">
        <w:rPr>
          <w:color w:val="auto"/>
          <w:sz w:val="23"/>
          <w:szCs w:val="23"/>
        </w:rPr>
        <w:lastRenderedPageBreak/>
        <w:t>na rynkach bądź w punktach na ulicy [stojący gazeciarze]. Tym samym nakłada się różnego rodzaju obowiązki także i na te punkty, a ich realizacja może budzić wiele trudności lub być wręcz niemożliwa. Zdaniem wydawców, definicja ta nie p</w:t>
      </w:r>
      <w:r>
        <w:rPr>
          <w:color w:val="auto"/>
          <w:sz w:val="23"/>
          <w:szCs w:val="23"/>
        </w:rPr>
        <w:t>owinna być rozszerzana;</w:t>
      </w:r>
    </w:p>
    <w:p w:rsidR="004B2E0E"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p</w:t>
      </w:r>
      <w:r w:rsidR="004B2E0E" w:rsidRPr="003F4056">
        <w:rPr>
          <w:color w:val="auto"/>
          <w:sz w:val="23"/>
          <w:szCs w:val="23"/>
        </w:rPr>
        <w:t xml:space="preserve">aństwa członkowskie mogły </w:t>
      </w:r>
      <w:r w:rsidR="00276FE8" w:rsidRPr="003F4056">
        <w:rPr>
          <w:color w:val="auto"/>
          <w:sz w:val="23"/>
          <w:szCs w:val="23"/>
        </w:rPr>
        <w:t xml:space="preserve">dotychczas </w:t>
      </w:r>
      <w:r w:rsidR="004B2E0E" w:rsidRPr="003F4056">
        <w:rPr>
          <w:color w:val="auto"/>
          <w:sz w:val="23"/>
          <w:szCs w:val="23"/>
        </w:rPr>
        <w:t>wyłączyć spod obowiązywania dyrektywy umowy zawierane poza przedstawicielstwem firmy, o ile następowało to na prośbę klienta</w:t>
      </w:r>
      <w:r w:rsidR="00276FE8" w:rsidRPr="003F4056">
        <w:rPr>
          <w:color w:val="auto"/>
          <w:sz w:val="23"/>
          <w:szCs w:val="23"/>
        </w:rPr>
        <w:t>, a także umowy o nieznacznej wartości (do 60 Euro). Taka możliwość powinna znaleźć się także w obecnej propozycji. W tych bowiem przypadkach konsument ni</w:t>
      </w:r>
      <w:r>
        <w:rPr>
          <w:color w:val="auto"/>
          <w:sz w:val="23"/>
          <w:szCs w:val="23"/>
        </w:rPr>
        <w:t>e musi być specjalnie chroniony;</w:t>
      </w:r>
    </w:p>
    <w:p w:rsidR="004B2E0E"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z</w:t>
      </w:r>
      <w:r w:rsidR="004B2E0E" w:rsidRPr="003F4056">
        <w:rPr>
          <w:color w:val="auto"/>
          <w:sz w:val="23"/>
          <w:szCs w:val="23"/>
        </w:rPr>
        <w:t>akłada się pełną harmonizację – tym samym państwom członkowskim pozostawi się niewielkie pole do manewru i ewentualne wprowadzenie dodatkowych wymogów, gwarantujących większą ochronę konsumentom, nie będzie możliwe</w:t>
      </w:r>
      <w:r w:rsidR="00276FE8" w:rsidRPr="003F4056">
        <w:rPr>
          <w:color w:val="auto"/>
          <w:sz w:val="23"/>
          <w:szCs w:val="23"/>
        </w:rPr>
        <w:t xml:space="preserve">. Tym samym istnieje ryzyko, iż </w:t>
      </w:r>
      <w:r w:rsidR="00497339" w:rsidRPr="003F4056">
        <w:rPr>
          <w:color w:val="auto"/>
          <w:sz w:val="23"/>
          <w:szCs w:val="23"/>
        </w:rPr>
        <w:t>w krajach, w których obowiązuje wyższy standard ochrony konsumenta, będzie on musiał ulec obniżeniu. Dlatego powinno się zostawić większą swobodę państw</w:t>
      </w:r>
      <w:r>
        <w:rPr>
          <w:color w:val="auto"/>
          <w:sz w:val="23"/>
          <w:szCs w:val="23"/>
        </w:rPr>
        <w:t>om członkowskim w tym względzie;</w:t>
      </w:r>
    </w:p>
    <w:p w:rsidR="004B2E0E"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w</w:t>
      </w:r>
      <w:r w:rsidR="00497339" w:rsidRPr="003F4056">
        <w:rPr>
          <w:color w:val="auto"/>
          <w:sz w:val="23"/>
          <w:szCs w:val="23"/>
        </w:rPr>
        <w:t>prowadzenie</w:t>
      </w:r>
      <w:r w:rsidR="004B2E0E" w:rsidRPr="003F4056">
        <w:rPr>
          <w:color w:val="auto"/>
          <w:sz w:val="23"/>
          <w:szCs w:val="23"/>
        </w:rPr>
        <w:t xml:space="preserve"> daleko idących wymogów informowania konsumenta (art. 5 do 11 proponowanej dyrektywy), których realizacja może być czasami wręcz niemożliwa, np. w przypadku umów zawieranych przy pomocy telefonów komórkowych</w:t>
      </w:r>
      <w:r w:rsidR="00497339" w:rsidRPr="003F4056">
        <w:rPr>
          <w:color w:val="auto"/>
          <w:sz w:val="23"/>
          <w:szCs w:val="23"/>
        </w:rPr>
        <w:t xml:space="preserve">, nie możliwe będzie dostarczenie regulaminów, etc. </w:t>
      </w:r>
      <w:r w:rsidR="004B2E0E" w:rsidRPr="003F4056">
        <w:rPr>
          <w:color w:val="auto"/>
          <w:sz w:val="23"/>
          <w:szCs w:val="23"/>
        </w:rPr>
        <w:t xml:space="preserve">Ponadto </w:t>
      </w:r>
      <w:r w:rsidR="00497339" w:rsidRPr="003F4056">
        <w:rPr>
          <w:color w:val="auto"/>
          <w:sz w:val="23"/>
          <w:szCs w:val="23"/>
        </w:rPr>
        <w:t xml:space="preserve">zakłada się, że w umowie musi znaleźć się </w:t>
      </w:r>
      <w:r w:rsidR="004B2E0E" w:rsidRPr="003F4056">
        <w:rPr>
          <w:color w:val="auto"/>
          <w:sz w:val="23"/>
          <w:szCs w:val="23"/>
        </w:rPr>
        <w:t>odwołanie do kodeksów dobrych praktyk</w:t>
      </w:r>
      <w:r w:rsidR="00497339" w:rsidRPr="003F4056">
        <w:rPr>
          <w:color w:val="auto"/>
          <w:sz w:val="23"/>
          <w:szCs w:val="23"/>
        </w:rPr>
        <w:t>, o ile takie istnieją. Zgodnie jednak z inną dyrektywą – o nieuczciwych praktykach rynkowych – taki dobrowolny kodeks dobrych praktyk, stanie się obligatoryjną częścią umowy. Obowiązki informa</w:t>
      </w:r>
      <w:r>
        <w:rPr>
          <w:color w:val="auto"/>
          <w:sz w:val="23"/>
          <w:szCs w:val="23"/>
        </w:rPr>
        <w:t>cyjne powinny być więc mniejsze;</w:t>
      </w:r>
    </w:p>
    <w:p w:rsidR="004B2E0E" w:rsidRPr="003F4056" w:rsidRDefault="00CC7B57" w:rsidP="00C932D3">
      <w:pPr>
        <w:pStyle w:val="Default"/>
        <w:numPr>
          <w:ilvl w:val="0"/>
          <w:numId w:val="23"/>
        </w:numPr>
        <w:spacing w:after="120" w:line="360" w:lineRule="auto"/>
        <w:jc w:val="both"/>
        <w:rPr>
          <w:color w:val="auto"/>
          <w:sz w:val="23"/>
          <w:szCs w:val="23"/>
        </w:rPr>
      </w:pPr>
      <w:r>
        <w:rPr>
          <w:color w:val="auto"/>
          <w:sz w:val="23"/>
          <w:szCs w:val="23"/>
        </w:rPr>
        <w:t>z</w:t>
      </w:r>
      <w:r w:rsidR="004B2E0E" w:rsidRPr="003F4056">
        <w:rPr>
          <w:color w:val="auto"/>
          <w:sz w:val="23"/>
          <w:szCs w:val="23"/>
        </w:rPr>
        <w:t>miany planowane w zakresie prawa rezygnacji z umowy zawieranej na odległość</w:t>
      </w:r>
      <w:r w:rsidR="00497339" w:rsidRPr="003F4056">
        <w:rPr>
          <w:color w:val="auto"/>
          <w:sz w:val="23"/>
          <w:szCs w:val="23"/>
        </w:rPr>
        <w:t>, także budzą obawy wydawców</w:t>
      </w:r>
      <w:r w:rsidR="004B2E0E" w:rsidRPr="003F4056">
        <w:rPr>
          <w:color w:val="auto"/>
          <w:sz w:val="23"/>
          <w:szCs w:val="23"/>
        </w:rPr>
        <w:t xml:space="preserve">. Zgodnie z </w:t>
      </w:r>
      <w:r w:rsidR="00497339" w:rsidRPr="003F4056">
        <w:rPr>
          <w:color w:val="auto"/>
          <w:sz w:val="23"/>
          <w:szCs w:val="23"/>
        </w:rPr>
        <w:t xml:space="preserve">obecną </w:t>
      </w:r>
      <w:r w:rsidR="004B2E0E" w:rsidRPr="003F4056">
        <w:rPr>
          <w:color w:val="auto"/>
          <w:sz w:val="23"/>
          <w:szCs w:val="23"/>
        </w:rPr>
        <w:t xml:space="preserve">dyrektywą dot. „distance selling”, gazety, periodyki i </w:t>
      </w:r>
      <w:r w:rsidR="00497339" w:rsidRPr="003F4056">
        <w:rPr>
          <w:color w:val="auto"/>
          <w:sz w:val="23"/>
          <w:szCs w:val="23"/>
        </w:rPr>
        <w:t>czasopisma są wyłączone spod jej</w:t>
      </w:r>
      <w:r w:rsidR="004B2E0E" w:rsidRPr="003F4056">
        <w:rPr>
          <w:color w:val="auto"/>
          <w:sz w:val="23"/>
          <w:szCs w:val="23"/>
        </w:rPr>
        <w:t xml:space="preserve"> regulacji. Zachowanie tego warunku jest </w:t>
      </w:r>
      <w:r w:rsidR="00497339" w:rsidRPr="003F4056">
        <w:rPr>
          <w:color w:val="auto"/>
          <w:sz w:val="23"/>
          <w:szCs w:val="23"/>
        </w:rPr>
        <w:t>fundamentalne. N</w:t>
      </w:r>
      <w:r w:rsidR="004B2E0E" w:rsidRPr="003F4056">
        <w:rPr>
          <w:color w:val="auto"/>
          <w:sz w:val="23"/>
          <w:szCs w:val="23"/>
        </w:rPr>
        <w:t xml:space="preserve">ie </w:t>
      </w:r>
      <w:r w:rsidR="00497339" w:rsidRPr="003F4056">
        <w:rPr>
          <w:color w:val="auto"/>
          <w:sz w:val="23"/>
          <w:szCs w:val="23"/>
        </w:rPr>
        <w:t xml:space="preserve">do przyjęcia byłaby bowiem sytuacja, w której </w:t>
      </w:r>
      <w:r w:rsidR="004B2E0E" w:rsidRPr="003F4056">
        <w:rPr>
          <w:color w:val="auto"/>
          <w:sz w:val="23"/>
          <w:szCs w:val="23"/>
        </w:rPr>
        <w:t>po zawarciu umowy i w trakcie dostarczania prenumeraty gazet czy czasopism klient mógł</w:t>
      </w:r>
      <w:r w:rsidR="00497339" w:rsidRPr="003F4056">
        <w:rPr>
          <w:color w:val="auto"/>
          <w:sz w:val="23"/>
          <w:szCs w:val="23"/>
        </w:rPr>
        <w:t>by</w:t>
      </w:r>
      <w:r w:rsidR="004B2E0E" w:rsidRPr="003F4056">
        <w:rPr>
          <w:color w:val="auto"/>
          <w:sz w:val="23"/>
          <w:szCs w:val="23"/>
        </w:rPr>
        <w:t xml:space="preserve"> wypowiedzieć umow</w:t>
      </w:r>
      <w:r w:rsidR="00497339" w:rsidRPr="003F4056">
        <w:rPr>
          <w:color w:val="auto"/>
          <w:sz w:val="23"/>
          <w:szCs w:val="23"/>
        </w:rPr>
        <w:t xml:space="preserve">ę (w okresie 14 dni), skoro </w:t>
      </w:r>
      <w:r w:rsidR="004B2E0E" w:rsidRPr="003F4056">
        <w:rPr>
          <w:color w:val="auto"/>
          <w:sz w:val="23"/>
          <w:szCs w:val="23"/>
        </w:rPr>
        <w:t xml:space="preserve">mógł </w:t>
      </w:r>
      <w:r w:rsidR="00497339" w:rsidRPr="003F4056">
        <w:rPr>
          <w:color w:val="auto"/>
          <w:sz w:val="23"/>
          <w:szCs w:val="23"/>
        </w:rPr>
        <w:t xml:space="preserve">już </w:t>
      </w:r>
      <w:r w:rsidR="004B2E0E" w:rsidRPr="003F4056">
        <w:rPr>
          <w:color w:val="auto"/>
          <w:sz w:val="23"/>
          <w:szCs w:val="23"/>
        </w:rPr>
        <w:t>przeczytać gazety lub czasopisma.</w:t>
      </w:r>
      <w:r w:rsidR="00497339" w:rsidRPr="003F4056">
        <w:rPr>
          <w:color w:val="auto"/>
          <w:sz w:val="23"/>
          <w:szCs w:val="23"/>
        </w:rPr>
        <w:t xml:space="preserve"> Przeczytany tytuł nie może bowiem podlegać zwrotowi. Dlatego też gazety i czasopisma muszą być wyłączone spod prawa rezygnacji </w:t>
      </w:r>
      <w:r>
        <w:rPr>
          <w:color w:val="auto"/>
          <w:sz w:val="23"/>
          <w:szCs w:val="23"/>
        </w:rPr>
        <w:t>z umowy zawieranej na odległość.</w:t>
      </w:r>
    </w:p>
    <w:p w:rsidR="00465857" w:rsidRDefault="00465857">
      <w:pPr>
        <w:rPr>
          <w:rFonts w:ascii="Times New Roman" w:hAnsi="Times New Roman" w:cs="Times New Roman"/>
          <w:b/>
          <w:sz w:val="32"/>
          <w:szCs w:val="24"/>
        </w:rPr>
      </w:pPr>
      <w:r>
        <w:rPr>
          <w:rFonts w:ascii="Times New Roman" w:hAnsi="Times New Roman" w:cs="Times New Roman"/>
          <w:b/>
          <w:sz w:val="32"/>
          <w:szCs w:val="24"/>
        </w:rPr>
        <w:br w:type="page"/>
      </w:r>
    </w:p>
    <w:p w:rsidR="004B2543" w:rsidRPr="00F7649C" w:rsidRDefault="00F7649C" w:rsidP="00F7649C">
      <w:pPr>
        <w:rPr>
          <w:rFonts w:ascii="Times New Roman" w:hAnsi="Times New Roman" w:cs="Times New Roman"/>
          <w:b/>
          <w:sz w:val="32"/>
          <w:szCs w:val="24"/>
        </w:rPr>
      </w:pPr>
      <w:r>
        <w:rPr>
          <w:rFonts w:ascii="Times New Roman" w:hAnsi="Times New Roman" w:cs="Times New Roman"/>
          <w:b/>
          <w:sz w:val="32"/>
          <w:szCs w:val="24"/>
        </w:rPr>
        <w:lastRenderedPageBreak/>
        <w:t>I</w:t>
      </w:r>
      <w:r w:rsidR="00465857">
        <w:rPr>
          <w:rFonts w:ascii="Times New Roman" w:hAnsi="Times New Roman" w:cs="Times New Roman"/>
          <w:b/>
          <w:sz w:val="32"/>
          <w:szCs w:val="24"/>
        </w:rPr>
        <w:t>V</w:t>
      </w:r>
      <w:r>
        <w:rPr>
          <w:rFonts w:ascii="Times New Roman" w:hAnsi="Times New Roman" w:cs="Times New Roman"/>
          <w:b/>
          <w:sz w:val="32"/>
          <w:szCs w:val="24"/>
        </w:rPr>
        <w:t xml:space="preserve">. </w:t>
      </w:r>
      <w:r w:rsidR="004B2543" w:rsidRPr="00F7649C">
        <w:rPr>
          <w:rFonts w:ascii="Times New Roman" w:hAnsi="Times New Roman" w:cs="Times New Roman"/>
          <w:b/>
          <w:sz w:val="32"/>
          <w:szCs w:val="24"/>
        </w:rPr>
        <w:t>VAT:</w:t>
      </w:r>
    </w:p>
    <w:p w:rsidR="004B2543" w:rsidRPr="00331DE5" w:rsidRDefault="004B2543" w:rsidP="006948A7">
      <w:pPr>
        <w:spacing w:after="120" w:line="360" w:lineRule="auto"/>
        <w:rPr>
          <w:rFonts w:ascii="Times New Roman" w:hAnsi="Times New Roman" w:cs="Times New Roman"/>
          <w:b/>
          <w:sz w:val="24"/>
          <w:szCs w:val="24"/>
        </w:rPr>
      </w:pPr>
      <w:r w:rsidRPr="00331DE5">
        <w:rPr>
          <w:rFonts w:ascii="Times New Roman" w:hAnsi="Times New Roman" w:cs="Times New Roman"/>
          <w:b/>
          <w:sz w:val="24"/>
          <w:szCs w:val="24"/>
        </w:rPr>
        <w:t>Tło:</w:t>
      </w:r>
    </w:p>
    <w:p w:rsidR="004B2543" w:rsidRPr="00331DE5" w:rsidRDefault="004B2543" w:rsidP="006948A7">
      <w:pPr>
        <w:spacing w:after="120" w:line="360" w:lineRule="auto"/>
        <w:ind w:firstLine="567"/>
        <w:jc w:val="both"/>
        <w:rPr>
          <w:rFonts w:ascii="Times New Roman" w:eastAsia="Calibri" w:hAnsi="Times New Roman" w:cs="Times New Roman"/>
          <w:color w:val="000000"/>
          <w:sz w:val="24"/>
          <w:szCs w:val="24"/>
        </w:rPr>
      </w:pPr>
      <w:r w:rsidRPr="00331DE5">
        <w:rPr>
          <w:rFonts w:ascii="Times New Roman" w:eastAsia="Calibri" w:hAnsi="Times New Roman" w:cs="Times New Roman"/>
          <w:color w:val="000000"/>
          <w:sz w:val="24"/>
          <w:szCs w:val="24"/>
        </w:rPr>
        <w:t>W trakcie procesu akcesyjnego Polska uzyskała zgodę na stosowanie 0% stawki VAT na książki</w:t>
      </w:r>
      <w:r w:rsidRPr="00331DE5">
        <w:rPr>
          <w:rFonts w:ascii="Times New Roman" w:hAnsi="Times New Roman" w:cs="Times New Roman"/>
          <w:color w:val="000000"/>
          <w:sz w:val="24"/>
          <w:szCs w:val="24"/>
        </w:rPr>
        <w:t xml:space="preserve"> i </w:t>
      </w:r>
      <w:r w:rsidRPr="00331DE5">
        <w:rPr>
          <w:rFonts w:ascii="Times New Roman" w:eastAsia="Calibri" w:hAnsi="Times New Roman" w:cs="Times New Roman"/>
          <w:color w:val="000000"/>
          <w:sz w:val="24"/>
          <w:szCs w:val="24"/>
        </w:rPr>
        <w:t xml:space="preserve">czasopisma specjalistyczne, </w:t>
      </w:r>
      <w:r w:rsidRPr="00331DE5">
        <w:rPr>
          <w:rFonts w:ascii="Times New Roman" w:eastAsia="Calibri" w:hAnsi="Times New Roman" w:cs="Times New Roman"/>
          <w:sz w:val="24"/>
          <w:szCs w:val="24"/>
        </w:rPr>
        <w:t xml:space="preserve">7% na usługi gastronomiczne, budownictwo mieszkaniowe, niektóre produkty rolne oraz 3% na żywność itp. </w:t>
      </w:r>
      <w:r w:rsidRPr="00331DE5">
        <w:rPr>
          <w:rFonts w:ascii="Times New Roman" w:hAnsi="Times New Roman" w:cs="Times New Roman"/>
          <w:sz w:val="24"/>
          <w:szCs w:val="24"/>
        </w:rPr>
        <w:t xml:space="preserve">Takie regulacje zostały zawarte w </w:t>
      </w:r>
      <w:r w:rsidRPr="00331DE5">
        <w:rPr>
          <w:rFonts w:ascii="Times New Roman" w:hAnsi="Times New Roman" w:cs="Times New Roman"/>
          <w:bCs/>
          <w:sz w:val="24"/>
          <w:szCs w:val="24"/>
        </w:rPr>
        <w:t>art. 146 U</w:t>
      </w:r>
      <w:r w:rsidRPr="00331DE5">
        <w:rPr>
          <w:rFonts w:ascii="Times New Roman" w:eastAsia="Calibri" w:hAnsi="Times New Roman" w:cs="Times New Roman"/>
          <w:bCs/>
          <w:sz w:val="24"/>
          <w:szCs w:val="24"/>
        </w:rPr>
        <w:t>stawy</w:t>
      </w:r>
      <w:r w:rsidRPr="00331DE5">
        <w:rPr>
          <w:rFonts w:ascii="Times New Roman" w:hAnsi="Times New Roman" w:cs="Times New Roman"/>
          <w:sz w:val="24"/>
          <w:szCs w:val="24"/>
        </w:rPr>
        <w:t xml:space="preserve"> o </w:t>
      </w:r>
      <w:r w:rsidRPr="00331DE5">
        <w:rPr>
          <w:rFonts w:ascii="Times New Roman" w:eastAsia="Calibri" w:hAnsi="Times New Roman" w:cs="Times New Roman"/>
          <w:sz w:val="24"/>
          <w:szCs w:val="24"/>
        </w:rPr>
        <w:t>podatku od towarów</w:t>
      </w:r>
      <w:r w:rsidRPr="00331DE5">
        <w:rPr>
          <w:rFonts w:ascii="Times New Roman" w:hAnsi="Times New Roman" w:cs="Times New Roman"/>
          <w:sz w:val="24"/>
          <w:szCs w:val="24"/>
        </w:rPr>
        <w:t xml:space="preserve"> i </w:t>
      </w:r>
      <w:r w:rsidRPr="00331DE5">
        <w:rPr>
          <w:rFonts w:ascii="Times New Roman" w:eastAsia="Calibri" w:hAnsi="Times New Roman" w:cs="Times New Roman"/>
          <w:sz w:val="24"/>
          <w:szCs w:val="24"/>
        </w:rPr>
        <w:t>usług</w:t>
      </w:r>
      <w:r w:rsidRPr="00331DE5">
        <w:rPr>
          <w:rFonts w:ascii="Times New Roman" w:hAnsi="Times New Roman" w:cs="Times New Roman"/>
          <w:sz w:val="24"/>
          <w:szCs w:val="24"/>
        </w:rPr>
        <w:t xml:space="preserve"> z 11. </w:t>
      </w:r>
      <w:r w:rsidRPr="00331DE5">
        <w:rPr>
          <w:rFonts w:ascii="Times New Roman" w:eastAsia="Calibri" w:hAnsi="Times New Roman" w:cs="Times New Roman"/>
          <w:sz w:val="24"/>
          <w:szCs w:val="24"/>
        </w:rPr>
        <w:t>marca 2004 r.</w:t>
      </w:r>
      <w:r w:rsidRPr="00331DE5">
        <w:rPr>
          <w:rStyle w:val="Odwoanieprzypisudolnego"/>
          <w:rFonts w:ascii="Times New Roman" w:eastAsia="Calibri" w:hAnsi="Times New Roman" w:cs="Times New Roman"/>
          <w:sz w:val="24"/>
          <w:szCs w:val="24"/>
        </w:rPr>
        <w:footnoteReference w:id="15"/>
      </w:r>
      <w:r w:rsidRPr="00331DE5">
        <w:rPr>
          <w:rFonts w:ascii="Times New Roman" w:eastAsia="Calibri" w:hAnsi="Times New Roman" w:cs="Times New Roman"/>
          <w:sz w:val="24"/>
          <w:szCs w:val="24"/>
        </w:rPr>
        <w:t>.</w:t>
      </w:r>
      <w:r w:rsidRPr="00331DE5">
        <w:rPr>
          <w:rFonts w:ascii="Times New Roman" w:hAnsi="Times New Roman" w:cs="Times New Roman"/>
          <w:sz w:val="24"/>
          <w:szCs w:val="24"/>
        </w:rPr>
        <w:t xml:space="preserve"> </w:t>
      </w:r>
      <w:r w:rsidRPr="00331DE5">
        <w:rPr>
          <w:rFonts w:ascii="Times New Roman" w:eastAsia="Calibri" w:hAnsi="Times New Roman" w:cs="Times New Roman"/>
          <w:sz w:val="24"/>
          <w:szCs w:val="24"/>
        </w:rPr>
        <w:t>Obniżone stawki VAT na wybrane towary</w:t>
      </w:r>
      <w:r w:rsidRPr="00331DE5">
        <w:rPr>
          <w:rFonts w:ascii="Times New Roman" w:hAnsi="Times New Roman" w:cs="Times New Roman"/>
          <w:sz w:val="24"/>
          <w:szCs w:val="24"/>
        </w:rPr>
        <w:t xml:space="preserve"> i </w:t>
      </w:r>
      <w:r w:rsidRPr="00331DE5">
        <w:rPr>
          <w:rFonts w:ascii="Times New Roman" w:eastAsia="Calibri" w:hAnsi="Times New Roman" w:cs="Times New Roman"/>
          <w:sz w:val="24"/>
          <w:szCs w:val="24"/>
        </w:rPr>
        <w:t xml:space="preserve">usługi mogły być stosowane do </w:t>
      </w:r>
      <w:r w:rsidRPr="00331DE5">
        <w:rPr>
          <w:rFonts w:ascii="Times New Roman" w:hAnsi="Times New Roman" w:cs="Times New Roman"/>
          <w:sz w:val="24"/>
          <w:szCs w:val="24"/>
        </w:rPr>
        <w:t>końca</w:t>
      </w:r>
      <w:r w:rsidRPr="00331DE5">
        <w:rPr>
          <w:rFonts w:ascii="Times New Roman" w:eastAsia="Calibri" w:hAnsi="Times New Roman" w:cs="Times New Roman"/>
          <w:sz w:val="24"/>
          <w:szCs w:val="24"/>
        </w:rPr>
        <w:t xml:space="preserve"> 2007 r</w:t>
      </w:r>
      <w:r w:rsidRPr="00331DE5">
        <w:rPr>
          <w:rFonts w:ascii="Times New Roman" w:hAnsi="Times New Roman" w:cs="Times New Roman"/>
          <w:sz w:val="24"/>
          <w:szCs w:val="24"/>
        </w:rPr>
        <w:t xml:space="preserve">oku (a w odniesieniu do </w:t>
      </w:r>
      <w:r w:rsidRPr="00331DE5">
        <w:rPr>
          <w:rFonts w:ascii="Times New Roman" w:eastAsia="Calibri" w:hAnsi="Times New Roman" w:cs="Times New Roman"/>
          <w:sz w:val="24"/>
          <w:szCs w:val="24"/>
        </w:rPr>
        <w:t xml:space="preserve">niektórych produktów rolnych </w:t>
      </w:r>
      <w:r w:rsidRPr="00331DE5">
        <w:rPr>
          <w:rFonts w:ascii="Times New Roman" w:hAnsi="Times New Roman" w:cs="Times New Roman"/>
          <w:sz w:val="24"/>
          <w:szCs w:val="24"/>
        </w:rPr>
        <w:t>– d</w:t>
      </w:r>
      <w:r w:rsidRPr="00331DE5">
        <w:rPr>
          <w:rFonts w:ascii="Times New Roman" w:eastAsia="Calibri" w:hAnsi="Times New Roman" w:cs="Times New Roman"/>
          <w:sz w:val="24"/>
          <w:szCs w:val="24"/>
        </w:rPr>
        <w:t>o 30</w:t>
      </w:r>
      <w:r w:rsidRPr="00331DE5">
        <w:rPr>
          <w:rFonts w:ascii="Times New Roman" w:hAnsi="Times New Roman" w:cs="Times New Roman"/>
          <w:sz w:val="24"/>
          <w:szCs w:val="24"/>
        </w:rPr>
        <w:t>.</w:t>
      </w:r>
      <w:r w:rsidRPr="00331DE5">
        <w:rPr>
          <w:rFonts w:ascii="Times New Roman" w:eastAsia="Calibri" w:hAnsi="Times New Roman" w:cs="Times New Roman"/>
          <w:sz w:val="24"/>
          <w:szCs w:val="24"/>
        </w:rPr>
        <w:t xml:space="preserve"> kwietnia 2008). </w:t>
      </w:r>
    </w:p>
    <w:p w:rsidR="006948A7" w:rsidRDefault="004B2543" w:rsidP="006948A7">
      <w:pPr>
        <w:spacing w:after="120" w:line="360" w:lineRule="auto"/>
        <w:ind w:firstLine="567"/>
        <w:jc w:val="both"/>
        <w:rPr>
          <w:rFonts w:ascii="Times New Roman" w:hAnsi="Times New Roman" w:cs="Times New Roman"/>
          <w:sz w:val="24"/>
          <w:szCs w:val="24"/>
        </w:rPr>
      </w:pPr>
      <w:r w:rsidRPr="00331DE5">
        <w:rPr>
          <w:rFonts w:ascii="Times New Roman" w:hAnsi="Times New Roman" w:cs="Times New Roman"/>
          <w:sz w:val="24"/>
          <w:szCs w:val="24"/>
        </w:rPr>
        <w:t xml:space="preserve">Na poziomie unijnym od lipca 2008 r. </w:t>
      </w:r>
      <w:r w:rsidR="00C121C1" w:rsidRPr="00331DE5">
        <w:rPr>
          <w:rFonts w:ascii="Times New Roman" w:hAnsi="Times New Roman" w:cs="Times New Roman"/>
          <w:sz w:val="24"/>
          <w:szCs w:val="24"/>
        </w:rPr>
        <w:t>toczyły się prace nad rozszerzeniem stosowania stawek obniżonych podatku VAT. Podstawą do tych działań był projekt zmiany dyrektywy 2006/112/WE, przedłożony przez Komisję Europejską 7. lipca 2008 roku</w:t>
      </w:r>
      <w:r w:rsidR="00C121C1" w:rsidRPr="00331DE5">
        <w:rPr>
          <w:rStyle w:val="Odwoanieprzypisudolnego"/>
          <w:rFonts w:ascii="Times New Roman" w:hAnsi="Times New Roman" w:cs="Times New Roman"/>
          <w:sz w:val="24"/>
          <w:szCs w:val="24"/>
        </w:rPr>
        <w:footnoteReference w:id="16"/>
      </w:r>
      <w:r w:rsidR="00C121C1" w:rsidRPr="00331DE5">
        <w:rPr>
          <w:rFonts w:ascii="Times New Roman" w:hAnsi="Times New Roman" w:cs="Times New Roman"/>
          <w:sz w:val="24"/>
          <w:szCs w:val="24"/>
        </w:rPr>
        <w:t>. Projekt zakładał m.in. wprowadzenie preferencyjnych stawek podatku VAT w odniesieniu do audiobooków i innych „modyfikacji technicznych”. Propozycje dotyczyły „książek zawartych na płycie CD, CD-ROM-ach lub jakichkolwiek podobnych nośnikach fizycznych, które powtarzają głównie te same informacje, jakie zawarte są w książkach drukowanych”.</w:t>
      </w:r>
    </w:p>
    <w:p w:rsidR="006948A7" w:rsidRDefault="004B2543" w:rsidP="006948A7">
      <w:pPr>
        <w:spacing w:after="120" w:line="360" w:lineRule="auto"/>
        <w:ind w:firstLine="567"/>
        <w:jc w:val="both"/>
        <w:rPr>
          <w:rFonts w:ascii="Times New Roman" w:hAnsi="Times New Roman" w:cs="Times New Roman"/>
          <w:sz w:val="24"/>
          <w:szCs w:val="24"/>
        </w:rPr>
      </w:pPr>
      <w:r w:rsidRPr="00331DE5">
        <w:rPr>
          <w:rFonts w:ascii="Times New Roman" w:eastAsia="Calibri" w:hAnsi="Times New Roman" w:cs="Times New Roman"/>
          <w:sz w:val="24"/>
          <w:szCs w:val="24"/>
        </w:rPr>
        <w:t xml:space="preserve">W wyniku uzgodnień Ministrów Finansów wszystkich państw członkowskich Unii Europejskiej państwa członkowskie zgodziły się na przedłużenie stosowania obniżonych stawek VAT we Wspólnocie do końca 2010 r. Zatem Polska na mocy </w:t>
      </w:r>
      <w:r w:rsidR="00C121C1" w:rsidRPr="00331DE5">
        <w:rPr>
          <w:rFonts w:ascii="Times New Roman" w:hAnsi="Times New Roman" w:cs="Times New Roman"/>
          <w:sz w:val="24"/>
          <w:szCs w:val="24"/>
        </w:rPr>
        <w:t xml:space="preserve">odpowiedniego </w:t>
      </w:r>
      <w:r w:rsidRPr="00331DE5">
        <w:rPr>
          <w:rFonts w:ascii="Times New Roman" w:eastAsia="Calibri" w:hAnsi="Times New Roman" w:cs="Times New Roman"/>
          <w:sz w:val="24"/>
          <w:szCs w:val="24"/>
        </w:rPr>
        <w:t>rozporządzenia</w:t>
      </w:r>
      <w:r w:rsidR="00C121C1" w:rsidRPr="00331DE5">
        <w:rPr>
          <w:rStyle w:val="Odwoanieprzypisudolnego"/>
          <w:rFonts w:ascii="Times New Roman" w:hAnsi="Times New Roman" w:cs="Times New Roman"/>
          <w:sz w:val="24"/>
          <w:szCs w:val="24"/>
        </w:rPr>
        <w:footnoteReference w:id="17"/>
      </w:r>
      <w:r w:rsidRPr="00331DE5">
        <w:rPr>
          <w:rFonts w:ascii="Times New Roman" w:eastAsia="Calibri" w:hAnsi="Times New Roman" w:cs="Times New Roman"/>
          <w:sz w:val="24"/>
          <w:szCs w:val="24"/>
        </w:rPr>
        <w:t xml:space="preserve"> Ministra Finansów</w:t>
      </w:r>
      <w:r w:rsidRPr="00331DE5">
        <w:rPr>
          <w:rFonts w:ascii="Times New Roman" w:hAnsi="Times New Roman" w:cs="Times New Roman"/>
          <w:sz w:val="24"/>
          <w:szCs w:val="24"/>
        </w:rPr>
        <w:t xml:space="preserve"> z </w:t>
      </w:r>
      <w:r w:rsidR="00C121C1" w:rsidRPr="00331DE5">
        <w:rPr>
          <w:rFonts w:ascii="Times New Roman" w:hAnsi="Times New Roman" w:cs="Times New Roman"/>
          <w:sz w:val="24"/>
          <w:szCs w:val="24"/>
        </w:rPr>
        <w:t xml:space="preserve">dnia 28 listopada 2008 roku w </w:t>
      </w:r>
      <w:r w:rsidRPr="00331DE5">
        <w:rPr>
          <w:rFonts w:ascii="Times New Roman" w:eastAsia="Calibri" w:hAnsi="Times New Roman" w:cs="Times New Roman"/>
          <w:sz w:val="24"/>
          <w:szCs w:val="24"/>
        </w:rPr>
        <w:t>sprawie wykonani</w:t>
      </w:r>
      <w:r w:rsidR="00C121C1" w:rsidRPr="00331DE5">
        <w:rPr>
          <w:rFonts w:ascii="Times New Roman" w:hAnsi="Times New Roman" w:cs="Times New Roman"/>
          <w:sz w:val="24"/>
          <w:szCs w:val="24"/>
        </w:rPr>
        <w:t xml:space="preserve">a niektórych przepisów Ustawy o VAT </w:t>
      </w:r>
      <w:r w:rsidRPr="00331DE5">
        <w:rPr>
          <w:rFonts w:ascii="Times New Roman" w:eastAsia="Calibri" w:hAnsi="Times New Roman" w:cs="Times New Roman"/>
          <w:sz w:val="24"/>
          <w:szCs w:val="24"/>
        </w:rPr>
        <w:t>(Dz.U. Nr 212 poz. 1336) może w odniesieniu do tych towarów w dalszym ciągu stosować stawki obniżone. Rozporządzenie nie określa limitów czasowych –</w:t>
      </w:r>
      <w:r w:rsidR="00C121C1" w:rsidRPr="00331DE5">
        <w:rPr>
          <w:rFonts w:ascii="Times New Roman" w:hAnsi="Times New Roman" w:cs="Times New Roman"/>
          <w:sz w:val="24"/>
          <w:szCs w:val="24"/>
        </w:rPr>
        <w:t xml:space="preserve"> niemniej jednak wynikają one z </w:t>
      </w:r>
      <w:r w:rsidRPr="00331DE5">
        <w:rPr>
          <w:rFonts w:ascii="Times New Roman" w:eastAsia="Calibri" w:hAnsi="Times New Roman" w:cs="Times New Roman"/>
          <w:sz w:val="24"/>
          <w:szCs w:val="24"/>
        </w:rPr>
        <w:t xml:space="preserve">samej Dyrektywy – stawki te mogą być stosowane </w:t>
      </w:r>
      <w:r w:rsidRPr="00331DE5">
        <w:rPr>
          <w:rFonts w:ascii="Times New Roman" w:eastAsia="Calibri" w:hAnsi="Times New Roman" w:cs="Times New Roman"/>
          <w:b/>
          <w:sz w:val="24"/>
          <w:szCs w:val="24"/>
          <w:u w:val="single"/>
        </w:rPr>
        <w:t>do końca 2010 r.</w:t>
      </w:r>
      <w:r w:rsidRPr="00331DE5">
        <w:rPr>
          <w:rStyle w:val="Odwoanieprzypisudolnego"/>
          <w:rFonts w:ascii="Times New Roman" w:eastAsia="Calibri" w:hAnsi="Times New Roman" w:cs="Times New Roman"/>
          <w:sz w:val="24"/>
          <w:szCs w:val="24"/>
        </w:rPr>
        <w:footnoteReference w:id="18"/>
      </w:r>
      <w:r w:rsidR="00F97670" w:rsidRPr="00331DE5">
        <w:rPr>
          <w:rFonts w:ascii="Times New Roman" w:hAnsi="Times New Roman" w:cs="Times New Roman"/>
          <w:sz w:val="24"/>
          <w:szCs w:val="24"/>
        </w:rPr>
        <w:t>.</w:t>
      </w:r>
    </w:p>
    <w:p w:rsidR="00F97670" w:rsidRPr="00331DE5" w:rsidRDefault="00F97670" w:rsidP="006948A7">
      <w:pPr>
        <w:spacing w:after="120" w:line="360" w:lineRule="auto"/>
        <w:ind w:firstLine="567"/>
        <w:jc w:val="both"/>
        <w:rPr>
          <w:rFonts w:ascii="Times New Roman" w:hAnsi="Times New Roman" w:cs="Times New Roman"/>
          <w:sz w:val="24"/>
          <w:szCs w:val="24"/>
        </w:rPr>
      </w:pPr>
      <w:r w:rsidRPr="00331DE5">
        <w:rPr>
          <w:rFonts w:ascii="Times New Roman" w:hAnsi="Times New Roman" w:cs="Times New Roman"/>
          <w:sz w:val="24"/>
          <w:szCs w:val="24"/>
        </w:rPr>
        <w:t xml:space="preserve">10. marca b.r. podczas posiedzenia Rady ECOFIN osiągnięto porozumienie polityczne co do możliwości bezterminowego stosowania stawki obniżonej VAT w odniesieniu do m.in. tzw. usług pracochłonnych z obecnego załącznika IV dyrektywy 2006/112/WE, usług restauracyjnych oraz książek na wszystkich nośnikach. </w:t>
      </w:r>
    </w:p>
    <w:p w:rsidR="00F97670" w:rsidRPr="00331DE5" w:rsidRDefault="00F97670" w:rsidP="006948A7">
      <w:pPr>
        <w:spacing w:after="120" w:line="360" w:lineRule="auto"/>
        <w:rPr>
          <w:rFonts w:ascii="Times New Roman" w:hAnsi="Times New Roman" w:cs="Times New Roman"/>
          <w:sz w:val="24"/>
          <w:szCs w:val="24"/>
        </w:rPr>
      </w:pPr>
    </w:p>
    <w:p w:rsidR="00F97670" w:rsidRPr="00331DE5" w:rsidRDefault="00F97670" w:rsidP="006948A7">
      <w:pPr>
        <w:spacing w:after="120" w:line="360" w:lineRule="auto"/>
        <w:rPr>
          <w:rFonts w:ascii="Times New Roman" w:hAnsi="Times New Roman" w:cs="Times New Roman"/>
          <w:b/>
          <w:sz w:val="24"/>
          <w:szCs w:val="24"/>
        </w:rPr>
      </w:pPr>
      <w:r w:rsidRPr="00331DE5">
        <w:rPr>
          <w:rFonts w:ascii="Times New Roman" w:hAnsi="Times New Roman" w:cs="Times New Roman"/>
          <w:b/>
          <w:sz w:val="24"/>
          <w:szCs w:val="24"/>
        </w:rPr>
        <w:lastRenderedPageBreak/>
        <w:t>Stanowisko:</w:t>
      </w:r>
    </w:p>
    <w:p w:rsidR="006948A7" w:rsidRDefault="00F97670" w:rsidP="006948A7">
      <w:pPr>
        <w:shd w:val="clear" w:color="auto" w:fill="FFFFFF"/>
        <w:spacing w:after="120" w:line="360" w:lineRule="auto"/>
        <w:ind w:firstLine="567"/>
        <w:jc w:val="both"/>
        <w:rPr>
          <w:rFonts w:ascii="Times New Roman" w:hAnsi="Times New Roman" w:cs="Times New Roman"/>
          <w:sz w:val="24"/>
          <w:szCs w:val="24"/>
        </w:rPr>
      </w:pPr>
      <w:r w:rsidRPr="00331DE5">
        <w:rPr>
          <w:rFonts w:ascii="Times New Roman" w:eastAsia="Calibri" w:hAnsi="Times New Roman" w:cs="Times New Roman"/>
          <w:color w:val="000000"/>
          <w:spacing w:val="-6"/>
          <w:sz w:val="24"/>
          <w:szCs w:val="24"/>
        </w:rPr>
        <w:t xml:space="preserve">Izba Wydawców Prasy stoi na stanowisku, iż powinno nastąpić </w:t>
      </w:r>
      <w:r w:rsidRPr="00331DE5">
        <w:rPr>
          <w:rFonts w:ascii="Times New Roman" w:eastAsia="Calibri" w:hAnsi="Times New Roman" w:cs="Times New Roman"/>
          <w:sz w:val="24"/>
          <w:szCs w:val="24"/>
        </w:rPr>
        <w:t>przedłużenie możliwości stoso</w:t>
      </w:r>
      <w:r w:rsidRPr="00331DE5">
        <w:rPr>
          <w:rFonts w:ascii="Times New Roman" w:hAnsi="Times New Roman" w:cs="Times New Roman"/>
          <w:sz w:val="24"/>
          <w:szCs w:val="24"/>
        </w:rPr>
        <w:t xml:space="preserve">wania stawki 0% w odniesieniu do książek i </w:t>
      </w:r>
      <w:r w:rsidRPr="00331DE5">
        <w:rPr>
          <w:rFonts w:ascii="Times New Roman" w:eastAsia="Calibri" w:hAnsi="Times New Roman" w:cs="Times New Roman"/>
          <w:sz w:val="24"/>
          <w:szCs w:val="24"/>
        </w:rPr>
        <w:t>czasopism specjalistycznych</w:t>
      </w:r>
      <w:r w:rsidRPr="00331DE5">
        <w:rPr>
          <w:rFonts w:ascii="Times New Roman" w:hAnsi="Times New Roman" w:cs="Times New Roman"/>
          <w:sz w:val="24"/>
          <w:szCs w:val="24"/>
        </w:rPr>
        <w:t xml:space="preserve"> oraz</w:t>
      </w:r>
      <w:r w:rsidRPr="00331DE5">
        <w:rPr>
          <w:rFonts w:ascii="Times New Roman" w:eastAsia="Calibri" w:hAnsi="Times New Roman" w:cs="Times New Roman"/>
          <w:sz w:val="24"/>
          <w:szCs w:val="24"/>
        </w:rPr>
        <w:t xml:space="preserve"> stawek obni</w:t>
      </w:r>
      <w:r w:rsidRPr="00331DE5">
        <w:rPr>
          <w:rFonts w:ascii="Times New Roman" w:hAnsi="Times New Roman" w:cs="Times New Roman"/>
          <w:sz w:val="24"/>
          <w:szCs w:val="24"/>
        </w:rPr>
        <w:t xml:space="preserve">żonych dla produktów rolnych i </w:t>
      </w:r>
      <w:r w:rsidRPr="00331DE5">
        <w:rPr>
          <w:rFonts w:ascii="Times New Roman" w:eastAsia="Calibri" w:hAnsi="Times New Roman" w:cs="Times New Roman"/>
          <w:sz w:val="24"/>
          <w:szCs w:val="24"/>
        </w:rPr>
        <w:t>bud</w:t>
      </w:r>
      <w:r w:rsidRPr="00331DE5">
        <w:rPr>
          <w:rFonts w:ascii="Times New Roman" w:hAnsi="Times New Roman" w:cs="Times New Roman"/>
          <w:sz w:val="24"/>
          <w:szCs w:val="24"/>
        </w:rPr>
        <w:t xml:space="preserve">ownictwa mieszkaniowego także w okresie po 1. </w:t>
      </w:r>
      <w:r w:rsidRPr="00331DE5">
        <w:rPr>
          <w:rFonts w:ascii="Times New Roman" w:eastAsia="Calibri" w:hAnsi="Times New Roman" w:cs="Times New Roman"/>
          <w:sz w:val="24"/>
          <w:szCs w:val="24"/>
        </w:rPr>
        <w:t>stycznia 2011</w:t>
      </w:r>
      <w:r w:rsidRPr="00331DE5">
        <w:rPr>
          <w:rFonts w:ascii="Times New Roman" w:hAnsi="Times New Roman" w:cs="Times New Roman"/>
          <w:sz w:val="24"/>
          <w:szCs w:val="24"/>
        </w:rPr>
        <w:t xml:space="preserve"> r</w:t>
      </w:r>
      <w:r w:rsidRPr="00331DE5">
        <w:rPr>
          <w:rFonts w:ascii="Times New Roman" w:eastAsia="Calibri" w:hAnsi="Times New Roman" w:cs="Times New Roman"/>
          <w:sz w:val="24"/>
          <w:szCs w:val="24"/>
        </w:rPr>
        <w:t xml:space="preserve">. Przedmiotowe </w:t>
      </w:r>
      <w:r w:rsidRPr="00331DE5">
        <w:rPr>
          <w:rFonts w:ascii="Times New Roman" w:hAnsi="Times New Roman" w:cs="Times New Roman"/>
          <w:sz w:val="24"/>
          <w:szCs w:val="24"/>
        </w:rPr>
        <w:t xml:space="preserve">towary i </w:t>
      </w:r>
      <w:r w:rsidRPr="00331DE5">
        <w:rPr>
          <w:rFonts w:ascii="Times New Roman" w:eastAsia="Calibri" w:hAnsi="Times New Roman" w:cs="Times New Roman"/>
          <w:sz w:val="24"/>
          <w:szCs w:val="24"/>
        </w:rPr>
        <w:t>usługi s</w:t>
      </w:r>
      <w:r w:rsidRPr="00331DE5">
        <w:rPr>
          <w:rFonts w:ascii="Times New Roman" w:hAnsi="Times New Roman" w:cs="Times New Roman"/>
          <w:sz w:val="24"/>
          <w:szCs w:val="24"/>
        </w:rPr>
        <w:t xml:space="preserve">ą istotne dla rynku lokalnego – a </w:t>
      </w:r>
      <w:r w:rsidRPr="00331DE5">
        <w:rPr>
          <w:rFonts w:ascii="Times New Roman" w:eastAsia="Calibri" w:hAnsi="Times New Roman" w:cs="Times New Roman"/>
          <w:sz w:val="24"/>
          <w:szCs w:val="24"/>
        </w:rPr>
        <w:t xml:space="preserve">tym samym </w:t>
      </w:r>
      <w:r w:rsidRPr="00331DE5">
        <w:rPr>
          <w:rFonts w:ascii="Times New Roman" w:hAnsi="Times New Roman" w:cs="Times New Roman"/>
          <w:sz w:val="24"/>
          <w:szCs w:val="24"/>
        </w:rPr>
        <w:t xml:space="preserve">– </w:t>
      </w:r>
      <w:r w:rsidRPr="00331DE5">
        <w:rPr>
          <w:rFonts w:ascii="Times New Roman" w:eastAsia="Calibri" w:hAnsi="Times New Roman" w:cs="Times New Roman"/>
          <w:sz w:val="24"/>
          <w:szCs w:val="24"/>
        </w:rPr>
        <w:t>zastosowanie stawek obniżonych nie zakłóci konkurencji na rynku wewnętrznym UE. Stawki obniżone przyczynią się do utrzymania cen na dotychczasowym poziomie</w:t>
      </w:r>
      <w:r w:rsidRPr="00331DE5">
        <w:rPr>
          <w:rFonts w:ascii="Times New Roman" w:hAnsi="Times New Roman" w:cs="Times New Roman"/>
          <w:sz w:val="24"/>
          <w:szCs w:val="24"/>
        </w:rPr>
        <w:t>, co jest o tyle istotne, że</w:t>
      </w:r>
      <w:r w:rsidRPr="00331DE5">
        <w:rPr>
          <w:rFonts w:ascii="Times New Roman" w:eastAsia="Calibri" w:hAnsi="Times New Roman" w:cs="Times New Roman"/>
          <w:sz w:val="24"/>
          <w:szCs w:val="24"/>
        </w:rPr>
        <w:t xml:space="preserve"> odbi</w:t>
      </w:r>
      <w:r w:rsidRPr="00331DE5">
        <w:rPr>
          <w:rFonts w:ascii="Times New Roman" w:hAnsi="Times New Roman" w:cs="Times New Roman"/>
          <w:sz w:val="24"/>
          <w:szCs w:val="24"/>
        </w:rPr>
        <w:t xml:space="preserve">orcami przedmiotowych towarów i </w:t>
      </w:r>
      <w:r w:rsidRPr="00331DE5">
        <w:rPr>
          <w:rFonts w:ascii="Times New Roman" w:eastAsia="Calibri" w:hAnsi="Times New Roman" w:cs="Times New Roman"/>
          <w:sz w:val="24"/>
          <w:szCs w:val="24"/>
        </w:rPr>
        <w:t>usług są p</w:t>
      </w:r>
      <w:r w:rsidR="00331DE5" w:rsidRPr="00331DE5">
        <w:rPr>
          <w:rFonts w:ascii="Times New Roman" w:hAnsi="Times New Roman" w:cs="Times New Roman"/>
          <w:sz w:val="24"/>
          <w:szCs w:val="24"/>
        </w:rPr>
        <w:t>rzede wszystkim osoby fizyczne.</w:t>
      </w:r>
    </w:p>
    <w:p w:rsidR="006948A7" w:rsidRDefault="00F97670" w:rsidP="006948A7">
      <w:pPr>
        <w:shd w:val="clear" w:color="auto" w:fill="FFFFFF"/>
        <w:spacing w:after="120" w:line="360" w:lineRule="auto"/>
        <w:ind w:firstLine="567"/>
        <w:jc w:val="both"/>
        <w:rPr>
          <w:rFonts w:ascii="Times New Roman" w:hAnsi="Times New Roman" w:cs="Times New Roman"/>
          <w:sz w:val="24"/>
          <w:szCs w:val="24"/>
        </w:rPr>
      </w:pPr>
      <w:r w:rsidRPr="00331DE5">
        <w:rPr>
          <w:rFonts w:ascii="Times New Roman" w:hAnsi="Times New Roman" w:cs="Times New Roman"/>
          <w:sz w:val="24"/>
          <w:szCs w:val="24"/>
        </w:rPr>
        <w:t>Ponadto, b</w:t>
      </w:r>
      <w:r w:rsidRPr="00331DE5">
        <w:rPr>
          <w:rFonts w:ascii="Times New Roman" w:eastAsia="Calibri" w:hAnsi="Times New Roman" w:cs="Times New Roman"/>
          <w:sz w:val="24"/>
          <w:szCs w:val="24"/>
        </w:rPr>
        <w:t xml:space="preserve">iorąc pod uwagę światowy kryzys, zastosowanie stawek obniżonych </w:t>
      </w:r>
      <w:r w:rsidRPr="00331DE5">
        <w:rPr>
          <w:rFonts w:ascii="Times New Roman" w:hAnsi="Times New Roman" w:cs="Times New Roman"/>
          <w:sz w:val="24"/>
          <w:szCs w:val="24"/>
        </w:rPr>
        <w:t xml:space="preserve">podatku </w:t>
      </w:r>
      <w:r w:rsidRPr="00331DE5">
        <w:rPr>
          <w:rFonts w:ascii="Times New Roman" w:eastAsia="Calibri" w:hAnsi="Times New Roman" w:cs="Times New Roman"/>
          <w:sz w:val="24"/>
          <w:szCs w:val="24"/>
        </w:rPr>
        <w:t>VAT</w:t>
      </w:r>
      <w:r w:rsidRPr="00331DE5">
        <w:rPr>
          <w:rFonts w:ascii="Times New Roman" w:hAnsi="Times New Roman" w:cs="Times New Roman"/>
          <w:sz w:val="24"/>
          <w:szCs w:val="24"/>
        </w:rPr>
        <w:t xml:space="preserve"> w </w:t>
      </w:r>
      <w:r w:rsidRPr="00331DE5">
        <w:rPr>
          <w:rFonts w:ascii="Times New Roman" w:eastAsia="Calibri" w:hAnsi="Times New Roman" w:cs="Times New Roman"/>
          <w:sz w:val="24"/>
          <w:szCs w:val="24"/>
        </w:rPr>
        <w:t>wybra</w:t>
      </w:r>
      <w:r w:rsidRPr="00331DE5">
        <w:rPr>
          <w:rFonts w:ascii="Times New Roman" w:hAnsi="Times New Roman" w:cs="Times New Roman"/>
          <w:sz w:val="24"/>
          <w:szCs w:val="24"/>
        </w:rPr>
        <w:t>nych sektorach życia społeczno-</w:t>
      </w:r>
      <w:r w:rsidRPr="00331DE5">
        <w:rPr>
          <w:rFonts w:ascii="Times New Roman" w:eastAsia="Calibri" w:hAnsi="Times New Roman" w:cs="Times New Roman"/>
          <w:sz w:val="24"/>
          <w:szCs w:val="24"/>
        </w:rPr>
        <w:t xml:space="preserve">gospodarczego może przyczynić się do wzrostu gospodarczego. Celem rządu </w:t>
      </w:r>
      <w:r w:rsidR="00CB3E22" w:rsidRPr="00331DE5">
        <w:rPr>
          <w:rFonts w:ascii="Times New Roman" w:hAnsi="Times New Roman" w:cs="Times New Roman"/>
          <w:sz w:val="24"/>
          <w:szCs w:val="24"/>
        </w:rPr>
        <w:t xml:space="preserve">RP </w:t>
      </w:r>
      <w:r w:rsidRPr="00331DE5">
        <w:rPr>
          <w:rFonts w:ascii="Times New Roman" w:eastAsia="Calibri" w:hAnsi="Times New Roman" w:cs="Times New Roman"/>
          <w:sz w:val="24"/>
          <w:szCs w:val="24"/>
        </w:rPr>
        <w:t>na lata 2009/2010 jest poprawienie warunków wzrostu konsumpcyjnego</w:t>
      </w:r>
      <w:r w:rsidRPr="00331DE5">
        <w:rPr>
          <w:rStyle w:val="Odwoanieprzypisudolnego"/>
          <w:rFonts w:ascii="Times New Roman" w:eastAsia="Calibri" w:hAnsi="Times New Roman" w:cs="Times New Roman"/>
          <w:sz w:val="24"/>
          <w:szCs w:val="24"/>
        </w:rPr>
        <w:footnoteReference w:id="19"/>
      </w:r>
      <w:r w:rsidRPr="00331DE5">
        <w:rPr>
          <w:rFonts w:ascii="Times New Roman" w:eastAsia="Calibri" w:hAnsi="Times New Roman" w:cs="Times New Roman"/>
          <w:sz w:val="24"/>
          <w:szCs w:val="24"/>
        </w:rPr>
        <w:t xml:space="preserve">. Zdaniem </w:t>
      </w:r>
      <w:r w:rsidR="00CC7B57">
        <w:rPr>
          <w:rFonts w:ascii="Times New Roman" w:eastAsia="Calibri" w:hAnsi="Times New Roman" w:cs="Times New Roman"/>
          <w:sz w:val="24"/>
          <w:szCs w:val="24"/>
        </w:rPr>
        <w:t>wydawców</w:t>
      </w:r>
      <w:r w:rsidR="00CB3E22" w:rsidRPr="00331DE5">
        <w:rPr>
          <w:rFonts w:ascii="Times New Roman" w:hAnsi="Times New Roman" w:cs="Times New Roman"/>
          <w:sz w:val="24"/>
          <w:szCs w:val="24"/>
        </w:rPr>
        <w:t xml:space="preserve">, aby taki </w:t>
      </w:r>
      <w:r w:rsidRPr="00331DE5">
        <w:rPr>
          <w:rFonts w:ascii="Times New Roman" w:eastAsia="Calibri" w:hAnsi="Times New Roman" w:cs="Times New Roman"/>
          <w:sz w:val="24"/>
          <w:szCs w:val="24"/>
        </w:rPr>
        <w:t xml:space="preserve">wzrost </w:t>
      </w:r>
      <w:r w:rsidR="00CB3E22" w:rsidRPr="00331DE5">
        <w:rPr>
          <w:rFonts w:ascii="Times New Roman" w:hAnsi="Times New Roman" w:cs="Times New Roman"/>
          <w:sz w:val="24"/>
          <w:szCs w:val="24"/>
        </w:rPr>
        <w:t xml:space="preserve">(a tym samym – </w:t>
      </w:r>
      <w:r w:rsidRPr="00331DE5">
        <w:rPr>
          <w:rFonts w:ascii="Times New Roman" w:eastAsia="Calibri" w:hAnsi="Times New Roman" w:cs="Times New Roman"/>
          <w:sz w:val="24"/>
          <w:szCs w:val="24"/>
        </w:rPr>
        <w:t>wzrost gospodarczy</w:t>
      </w:r>
      <w:r w:rsidR="00CB3E22" w:rsidRPr="00331DE5">
        <w:rPr>
          <w:rFonts w:ascii="Times New Roman" w:hAnsi="Times New Roman" w:cs="Times New Roman"/>
          <w:sz w:val="24"/>
          <w:szCs w:val="24"/>
        </w:rPr>
        <w:t>) mógł nastąpić,</w:t>
      </w:r>
      <w:r w:rsidRPr="00331DE5">
        <w:rPr>
          <w:rFonts w:ascii="Times New Roman" w:eastAsia="Calibri" w:hAnsi="Times New Roman" w:cs="Times New Roman"/>
          <w:sz w:val="24"/>
          <w:szCs w:val="24"/>
        </w:rPr>
        <w:t xml:space="preserve"> należy podjąć działania mające na celu dobro konsumen</w:t>
      </w:r>
      <w:r w:rsidR="00CB3E22" w:rsidRPr="00331DE5">
        <w:rPr>
          <w:rFonts w:ascii="Times New Roman" w:hAnsi="Times New Roman" w:cs="Times New Roman"/>
          <w:sz w:val="24"/>
          <w:szCs w:val="24"/>
        </w:rPr>
        <w:t>ta. Takim działaniem jest m.in.</w:t>
      </w:r>
      <w:r w:rsidRPr="00331DE5">
        <w:rPr>
          <w:rFonts w:ascii="Times New Roman" w:eastAsia="Calibri" w:hAnsi="Times New Roman" w:cs="Times New Roman"/>
          <w:sz w:val="24"/>
          <w:szCs w:val="24"/>
        </w:rPr>
        <w:t xml:space="preserve"> utrzymanie obniżonych stawek podatku VAT na </w:t>
      </w:r>
      <w:r w:rsidR="00CB3E22" w:rsidRPr="00331DE5">
        <w:rPr>
          <w:rFonts w:ascii="Times New Roman" w:hAnsi="Times New Roman" w:cs="Times New Roman"/>
          <w:sz w:val="24"/>
          <w:szCs w:val="24"/>
        </w:rPr>
        <w:t>ww.</w:t>
      </w:r>
      <w:r w:rsidRPr="00331DE5">
        <w:rPr>
          <w:rFonts w:ascii="Times New Roman" w:eastAsia="Calibri" w:hAnsi="Times New Roman" w:cs="Times New Roman"/>
          <w:sz w:val="24"/>
          <w:szCs w:val="24"/>
        </w:rPr>
        <w:t xml:space="preserve"> towary i</w:t>
      </w:r>
      <w:r w:rsidR="00CB3E22" w:rsidRPr="00331DE5">
        <w:rPr>
          <w:rFonts w:ascii="Times New Roman" w:hAnsi="Times New Roman" w:cs="Times New Roman"/>
          <w:sz w:val="24"/>
          <w:szCs w:val="24"/>
        </w:rPr>
        <w:t xml:space="preserve"> </w:t>
      </w:r>
      <w:r w:rsidRPr="00331DE5">
        <w:rPr>
          <w:rFonts w:ascii="Times New Roman" w:eastAsia="Calibri" w:hAnsi="Times New Roman" w:cs="Times New Roman"/>
          <w:sz w:val="24"/>
          <w:szCs w:val="24"/>
        </w:rPr>
        <w:t>usługi</w:t>
      </w:r>
      <w:r w:rsidR="00CB3E22" w:rsidRPr="00331DE5">
        <w:rPr>
          <w:rFonts w:ascii="Times New Roman" w:hAnsi="Times New Roman" w:cs="Times New Roman"/>
          <w:sz w:val="24"/>
          <w:szCs w:val="24"/>
        </w:rPr>
        <w:t>. P</w:t>
      </w:r>
      <w:r w:rsidRPr="00331DE5">
        <w:rPr>
          <w:rFonts w:ascii="Times New Roman" w:eastAsia="Calibri" w:hAnsi="Times New Roman" w:cs="Times New Roman"/>
          <w:sz w:val="24"/>
          <w:szCs w:val="24"/>
        </w:rPr>
        <w:t xml:space="preserve">odwyższenie </w:t>
      </w:r>
      <w:r w:rsidR="00CB3E22" w:rsidRPr="00331DE5">
        <w:rPr>
          <w:rFonts w:ascii="Times New Roman" w:hAnsi="Times New Roman" w:cs="Times New Roman"/>
          <w:sz w:val="24"/>
          <w:szCs w:val="24"/>
        </w:rPr>
        <w:t xml:space="preserve">stawek podatku VAT </w:t>
      </w:r>
      <w:r w:rsidRPr="00331DE5">
        <w:rPr>
          <w:rFonts w:ascii="Times New Roman" w:eastAsia="Calibri" w:hAnsi="Times New Roman" w:cs="Times New Roman"/>
          <w:sz w:val="24"/>
          <w:szCs w:val="24"/>
        </w:rPr>
        <w:t>może</w:t>
      </w:r>
      <w:r w:rsidR="00CB3E22" w:rsidRPr="00331DE5">
        <w:rPr>
          <w:rFonts w:ascii="Times New Roman" w:hAnsi="Times New Roman" w:cs="Times New Roman"/>
          <w:sz w:val="24"/>
          <w:szCs w:val="24"/>
        </w:rPr>
        <w:t xml:space="preserve">, bowiem, wpłynąć na wzrost cen i w </w:t>
      </w:r>
      <w:r w:rsidRPr="00331DE5">
        <w:rPr>
          <w:rFonts w:ascii="Times New Roman" w:eastAsia="Calibri" w:hAnsi="Times New Roman" w:cs="Times New Roman"/>
          <w:sz w:val="24"/>
          <w:szCs w:val="24"/>
        </w:rPr>
        <w:t xml:space="preserve">znaczący sposób ograniczyć dostępność </w:t>
      </w:r>
      <w:r w:rsidR="00CB3E22" w:rsidRPr="00331DE5">
        <w:rPr>
          <w:rFonts w:ascii="Times New Roman" w:hAnsi="Times New Roman" w:cs="Times New Roman"/>
          <w:sz w:val="24"/>
          <w:szCs w:val="24"/>
        </w:rPr>
        <w:t xml:space="preserve">tych towarów </w:t>
      </w:r>
      <w:r w:rsidRPr="00331DE5">
        <w:rPr>
          <w:rFonts w:ascii="Times New Roman" w:eastAsia="Calibri" w:hAnsi="Times New Roman" w:cs="Times New Roman"/>
          <w:sz w:val="24"/>
          <w:szCs w:val="24"/>
        </w:rPr>
        <w:t xml:space="preserve">dla ostatecznych odbiorców. </w:t>
      </w:r>
      <w:r w:rsidR="00CB3E22" w:rsidRPr="00331DE5">
        <w:rPr>
          <w:rFonts w:ascii="Times New Roman" w:hAnsi="Times New Roman" w:cs="Times New Roman"/>
          <w:sz w:val="24"/>
          <w:szCs w:val="24"/>
        </w:rPr>
        <w:t xml:space="preserve">Takie rozwiązanie byłoby – z </w:t>
      </w:r>
      <w:r w:rsidRPr="00331DE5">
        <w:rPr>
          <w:rFonts w:ascii="Times New Roman" w:eastAsia="Calibri" w:hAnsi="Times New Roman" w:cs="Times New Roman"/>
          <w:sz w:val="24"/>
          <w:szCs w:val="24"/>
        </w:rPr>
        <w:t xml:space="preserve">punktu widzenia długofalowej </w:t>
      </w:r>
      <w:r w:rsidR="00CB3E22" w:rsidRPr="00331DE5">
        <w:rPr>
          <w:rFonts w:ascii="Times New Roman" w:hAnsi="Times New Roman" w:cs="Times New Roman"/>
          <w:sz w:val="24"/>
          <w:szCs w:val="24"/>
        </w:rPr>
        <w:t>polityki gospodarczej – z</w:t>
      </w:r>
      <w:r w:rsidRPr="00331DE5">
        <w:rPr>
          <w:rFonts w:ascii="Times New Roman" w:eastAsia="Calibri" w:hAnsi="Times New Roman" w:cs="Times New Roman"/>
          <w:sz w:val="24"/>
          <w:szCs w:val="24"/>
        </w:rPr>
        <w:t>jawiskiem zde</w:t>
      </w:r>
      <w:r w:rsidR="00CB3E22" w:rsidRPr="00331DE5">
        <w:rPr>
          <w:rFonts w:ascii="Times New Roman" w:hAnsi="Times New Roman" w:cs="Times New Roman"/>
          <w:sz w:val="24"/>
          <w:szCs w:val="24"/>
        </w:rPr>
        <w:t>cydowanie niepożądanym.</w:t>
      </w:r>
    </w:p>
    <w:p w:rsidR="00F97670" w:rsidRPr="00331DE5" w:rsidRDefault="00F97670" w:rsidP="006948A7">
      <w:pPr>
        <w:shd w:val="clear" w:color="auto" w:fill="FFFFFF"/>
        <w:spacing w:after="120" w:line="360" w:lineRule="auto"/>
        <w:ind w:firstLine="567"/>
        <w:jc w:val="both"/>
        <w:rPr>
          <w:rFonts w:ascii="Times New Roman" w:eastAsia="Calibri" w:hAnsi="Times New Roman" w:cs="Times New Roman"/>
          <w:sz w:val="24"/>
          <w:szCs w:val="24"/>
        </w:rPr>
      </w:pPr>
      <w:r w:rsidRPr="00331DE5">
        <w:rPr>
          <w:rFonts w:ascii="Times New Roman" w:eastAsia="Calibri" w:hAnsi="Times New Roman" w:cs="Times New Roman"/>
          <w:sz w:val="24"/>
          <w:szCs w:val="24"/>
        </w:rPr>
        <w:t xml:space="preserve">Należy także podkreślić, iż wzrost stawek podatku </w:t>
      </w:r>
      <w:r w:rsidR="00CB3E22" w:rsidRPr="00331DE5">
        <w:rPr>
          <w:rFonts w:ascii="Times New Roman" w:hAnsi="Times New Roman" w:cs="Times New Roman"/>
          <w:sz w:val="24"/>
          <w:szCs w:val="24"/>
        </w:rPr>
        <w:t xml:space="preserve">VAT, który skutkować będzie </w:t>
      </w:r>
      <w:r w:rsidRPr="00331DE5">
        <w:rPr>
          <w:rFonts w:ascii="Times New Roman" w:eastAsia="Calibri" w:hAnsi="Times New Roman" w:cs="Times New Roman"/>
          <w:sz w:val="24"/>
          <w:szCs w:val="24"/>
        </w:rPr>
        <w:t>w</w:t>
      </w:r>
      <w:r w:rsidR="00CB3E22" w:rsidRPr="00331DE5">
        <w:rPr>
          <w:rFonts w:ascii="Times New Roman" w:hAnsi="Times New Roman" w:cs="Times New Roman"/>
          <w:sz w:val="24"/>
          <w:szCs w:val="24"/>
        </w:rPr>
        <w:t xml:space="preserve">zrostem cen mieszkań, książek, prasy i </w:t>
      </w:r>
      <w:r w:rsidRPr="00331DE5">
        <w:rPr>
          <w:rFonts w:ascii="Times New Roman" w:eastAsia="Calibri" w:hAnsi="Times New Roman" w:cs="Times New Roman"/>
          <w:sz w:val="24"/>
          <w:szCs w:val="24"/>
        </w:rPr>
        <w:t>produktów rolnych</w:t>
      </w:r>
      <w:r w:rsidR="00CB3E22" w:rsidRPr="00331DE5">
        <w:rPr>
          <w:rFonts w:ascii="Times New Roman" w:hAnsi="Times New Roman" w:cs="Times New Roman"/>
          <w:sz w:val="24"/>
          <w:szCs w:val="24"/>
        </w:rPr>
        <w:t xml:space="preserve">, obciążałby, w </w:t>
      </w:r>
      <w:r w:rsidRPr="00331DE5">
        <w:rPr>
          <w:rFonts w:ascii="Times New Roman" w:eastAsia="Calibri" w:hAnsi="Times New Roman" w:cs="Times New Roman"/>
          <w:sz w:val="24"/>
          <w:szCs w:val="24"/>
        </w:rPr>
        <w:t xml:space="preserve">oczach opinii publicznej, </w:t>
      </w:r>
      <w:r w:rsidR="00CB3E22" w:rsidRPr="00331DE5">
        <w:rPr>
          <w:rFonts w:ascii="Times New Roman" w:hAnsi="Times New Roman" w:cs="Times New Roman"/>
          <w:sz w:val="24"/>
          <w:szCs w:val="24"/>
        </w:rPr>
        <w:t xml:space="preserve">władze polskie i europejskie, co – w </w:t>
      </w:r>
      <w:r w:rsidRPr="00331DE5">
        <w:rPr>
          <w:rFonts w:ascii="Times New Roman" w:eastAsia="Calibri" w:hAnsi="Times New Roman" w:cs="Times New Roman"/>
          <w:sz w:val="24"/>
          <w:szCs w:val="24"/>
        </w:rPr>
        <w:t>obecnej, szczególnie trudne</w:t>
      </w:r>
      <w:r w:rsidR="00CB3E22" w:rsidRPr="00331DE5">
        <w:rPr>
          <w:rFonts w:ascii="Times New Roman" w:hAnsi="Times New Roman" w:cs="Times New Roman"/>
          <w:sz w:val="24"/>
          <w:szCs w:val="24"/>
        </w:rPr>
        <w:t xml:space="preserve">j sytuacji gospodarczej Polski i jej </w:t>
      </w:r>
      <w:r w:rsidRPr="00331DE5">
        <w:rPr>
          <w:rFonts w:ascii="Times New Roman" w:eastAsia="Calibri" w:hAnsi="Times New Roman" w:cs="Times New Roman"/>
          <w:sz w:val="24"/>
          <w:szCs w:val="24"/>
        </w:rPr>
        <w:t>obywateli, byłoby konsekwencją wysoce niepożądaną.</w:t>
      </w:r>
    </w:p>
    <w:p w:rsidR="00A16231" w:rsidRDefault="00A16231">
      <w:pPr>
        <w:rPr>
          <w:sz w:val="23"/>
          <w:szCs w:val="23"/>
        </w:rPr>
      </w:pPr>
      <w:r>
        <w:rPr>
          <w:sz w:val="23"/>
          <w:szCs w:val="23"/>
        </w:rPr>
        <w:br w:type="page"/>
      </w:r>
    </w:p>
    <w:p w:rsidR="00A16231" w:rsidRPr="00331DE5" w:rsidRDefault="00465857" w:rsidP="00A16231">
      <w:pPr>
        <w:rPr>
          <w:rFonts w:ascii="Times New Roman" w:hAnsi="Times New Roman" w:cs="Times New Roman"/>
          <w:b/>
          <w:sz w:val="32"/>
          <w:szCs w:val="24"/>
        </w:rPr>
      </w:pPr>
      <w:r>
        <w:rPr>
          <w:rFonts w:ascii="Times New Roman" w:hAnsi="Times New Roman" w:cs="Times New Roman"/>
          <w:b/>
          <w:sz w:val="32"/>
          <w:szCs w:val="24"/>
        </w:rPr>
        <w:lastRenderedPageBreak/>
        <w:t>V</w:t>
      </w:r>
      <w:r w:rsidR="00F7649C">
        <w:rPr>
          <w:rFonts w:ascii="Times New Roman" w:hAnsi="Times New Roman" w:cs="Times New Roman"/>
          <w:b/>
          <w:sz w:val="32"/>
          <w:szCs w:val="24"/>
        </w:rPr>
        <w:t xml:space="preserve">. </w:t>
      </w:r>
      <w:r w:rsidR="00A16231">
        <w:rPr>
          <w:rFonts w:ascii="Times New Roman" w:hAnsi="Times New Roman" w:cs="Times New Roman"/>
          <w:b/>
          <w:sz w:val="32"/>
          <w:szCs w:val="24"/>
        </w:rPr>
        <w:t>REKLAMA</w:t>
      </w:r>
      <w:r w:rsidR="00A16231" w:rsidRPr="00331DE5">
        <w:rPr>
          <w:rFonts w:ascii="Times New Roman" w:hAnsi="Times New Roman" w:cs="Times New Roman"/>
          <w:b/>
          <w:sz w:val="32"/>
          <w:szCs w:val="24"/>
        </w:rPr>
        <w:t>:</w:t>
      </w:r>
    </w:p>
    <w:p w:rsidR="00A16231" w:rsidRDefault="00A16231" w:rsidP="00A16231">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Działalność reklamowa prowadzona w prasie staje się – wobec coraz mniejszej sprzedaży egzemplarzowej – podstawowym przychodem wydawców gazet i czasopism. Już obecnie – w zależności od tytułu – przychód ten wynosi </w:t>
      </w:r>
      <w:r w:rsidRPr="00FE115A">
        <w:rPr>
          <w:rFonts w:ascii="Times New Roman" w:hAnsi="Times New Roman" w:cs="Times New Roman"/>
          <w:sz w:val="24"/>
          <w:szCs w:val="24"/>
        </w:rPr>
        <w:t>przeciętnie 60%.</w:t>
      </w:r>
    </w:p>
    <w:p w:rsidR="006E383F" w:rsidRDefault="00A16231" w:rsidP="006E383F">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poziomie Unii Europejskiej nieustannie pojawiają się nowe inicjatywy, zmierzające do całkowitego zakazywania reklamowania niektórych produktów bądź wprowadzania dodatkowych obligatoryjnych informacji w reklamie. Skutkiem podejmowanych działań, jest obniżenie konkurencyjności działalności reklamowej w mediach i stosowne zmniejszenie wpływów wydawców. Ponadto – niejednokrotnie proponowane rozwiązania dyskryminują media drukowane względem innych masowych środków komunikacji (zwłaszcza radia i telewizji). Przykładem takiej działalności jest </w:t>
      </w:r>
      <w:r w:rsidR="00465857">
        <w:rPr>
          <w:rFonts w:ascii="Times New Roman" w:hAnsi="Times New Roman" w:cs="Times New Roman"/>
          <w:color w:val="000000"/>
          <w:sz w:val="24"/>
          <w:szCs w:val="24"/>
        </w:rPr>
        <w:t>wspomniana powyżej d</w:t>
      </w:r>
      <w:r>
        <w:rPr>
          <w:rFonts w:ascii="Times New Roman" w:hAnsi="Times New Roman" w:cs="Times New Roman"/>
          <w:color w:val="000000"/>
          <w:sz w:val="24"/>
          <w:szCs w:val="24"/>
        </w:rPr>
        <w:t xml:space="preserve">yrektywa </w:t>
      </w:r>
      <w:r w:rsidR="00F7649C">
        <w:rPr>
          <w:rFonts w:ascii="Times New Roman" w:hAnsi="Times New Roman" w:cs="Times New Roman"/>
          <w:color w:val="000000"/>
          <w:sz w:val="24"/>
          <w:szCs w:val="24"/>
        </w:rPr>
        <w:t>o audiowizualnych usługach medialnych (2007/65/WE), wprowadzająca możliwość stosowania w telewizji tzw. „plasowania</w:t>
      </w:r>
      <w:r w:rsidR="006E383F">
        <w:rPr>
          <w:rFonts w:ascii="Times New Roman" w:hAnsi="Times New Roman" w:cs="Times New Roman"/>
          <w:color w:val="000000"/>
          <w:sz w:val="24"/>
          <w:szCs w:val="24"/>
        </w:rPr>
        <w:t xml:space="preserve"> produktu” (product placement).</w:t>
      </w:r>
    </w:p>
    <w:p w:rsidR="006E383F" w:rsidRPr="006E383F" w:rsidRDefault="006E383F" w:rsidP="006E383F">
      <w:pPr>
        <w:spacing w:after="120" w:line="360" w:lineRule="auto"/>
        <w:ind w:firstLine="567"/>
        <w:jc w:val="both"/>
        <w:rPr>
          <w:rFonts w:ascii="Times New Roman" w:hAnsi="Times New Roman" w:cs="Times New Roman"/>
          <w:color w:val="000000"/>
          <w:sz w:val="24"/>
          <w:szCs w:val="24"/>
        </w:rPr>
      </w:pPr>
      <w:r w:rsidRPr="006E383F">
        <w:rPr>
          <w:rFonts w:ascii="Times New Roman" w:hAnsi="Times New Roman" w:cs="Times New Roman"/>
          <w:color w:val="000000"/>
          <w:sz w:val="24"/>
          <w:szCs w:val="24"/>
        </w:rPr>
        <w:t xml:space="preserve">Nie należy zapominać o wypracowanych na poziomie krajowym i unijnym systemów </w:t>
      </w:r>
      <w:r w:rsidRPr="006E383F">
        <w:rPr>
          <w:rFonts w:ascii="Times New Roman" w:hAnsi="Times New Roman" w:cs="Times New Roman"/>
          <w:sz w:val="24"/>
          <w:szCs w:val="24"/>
        </w:rPr>
        <w:t>samoregulacji, która już od wielu lat sprawdza się bez zarzutów w większości państw członkowskich UE. Tym bardziej, iż to właśnie systemy samoregulacji są elastyczne i doskonale dostosowują się do potrzeb danego rynku narodowego, uwzględniając przy tym warunki kulturowe, strukturę prawną, modele biznesowe, oczekiwania społeczne.</w:t>
      </w:r>
    </w:p>
    <w:p w:rsidR="00A16231" w:rsidRDefault="00F7649C" w:rsidP="00A16231">
      <w:pPr>
        <w:spacing w:after="12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Poniżej przedstawiamy listę najważniejszych zagadnień związanych z działalnością reklamową, nad którymi obecnie pracują instytucje unijne.</w:t>
      </w:r>
    </w:p>
    <w:p w:rsidR="006E383F" w:rsidRDefault="006E383F" w:rsidP="00A16231">
      <w:pPr>
        <w:spacing w:after="120" w:line="360" w:lineRule="auto"/>
        <w:ind w:firstLine="567"/>
        <w:jc w:val="both"/>
        <w:rPr>
          <w:rFonts w:ascii="Times New Roman" w:hAnsi="Times New Roman" w:cs="Times New Roman"/>
          <w:color w:val="000000"/>
          <w:sz w:val="24"/>
          <w:szCs w:val="24"/>
        </w:rPr>
      </w:pPr>
    </w:p>
    <w:p w:rsidR="00F7649C" w:rsidRDefault="00F7649C" w:rsidP="00F7649C">
      <w:pPr>
        <w:pStyle w:val="Akapitzlist"/>
        <w:numPr>
          <w:ilvl w:val="0"/>
          <w:numId w:val="5"/>
        </w:numPr>
        <w:spacing w:after="120" w:line="360" w:lineRule="auto"/>
        <w:jc w:val="both"/>
        <w:rPr>
          <w:rFonts w:ascii="Times New Roman" w:hAnsi="Times New Roman" w:cs="Times New Roman"/>
          <w:b/>
          <w:color w:val="000000"/>
          <w:sz w:val="24"/>
          <w:szCs w:val="24"/>
        </w:rPr>
      </w:pPr>
      <w:r w:rsidRPr="00F7649C">
        <w:rPr>
          <w:rFonts w:ascii="Times New Roman" w:hAnsi="Times New Roman" w:cs="Times New Roman"/>
          <w:b/>
          <w:color w:val="000000"/>
          <w:sz w:val="24"/>
          <w:szCs w:val="24"/>
        </w:rPr>
        <w:t>ENERGY LABELLING DIRECTIVE</w:t>
      </w:r>
      <w:r w:rsidR="005103B0">
        <w:rPr>
          <w:rStyle w:val="Odwoanieprzypisudolnego"/>
          <w:rFonts w:ascii="Times New Roman" w:hAnsi="Times New Roman" w:cs="Times New Roman"/>
          <w:b/>
          <w:color w:val="000000"/>
          <w:sz w:val="24"/>
          <w:szCs w:val="24"/>
        </w:rPr>
        <w:footnoteReference w:id="20"/>
      </w:r>
    </w:p>
    <w:p w:rsidR="00C06873" w:rsidRDefault="006F7F9B" w:rsidP="00C06873">
      <w:pPr>
        <w:autoSpaceDE w:val="0"/>
        <w:autoSpaceDN w:val="0"/>
        <w:adjustRightInd w:val="0"/>
        <w:spacing w:after="12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W zeszłym roku Komisja Europejska złożyła wniosek</w:t>
      </w:r>
      <w:r>
        <w:rPr>
          <w:rStyle w:val="Odwoanieprzypisudolnego"/>
          <w:rFonts w:ascii="Times New Roman" w:hAnsi="Times New Roman" w:cs="Times New Roman"/>
          <w:sz w:val="24"/>
          <w:szCs w:val="24"/>
        </w:rPr>
        <w:footnoteReference w:id="21"/>
      </w:r>
      <w:r>
        <w:rPr>
          <w:rFonts w:ascii="Times New Roman" w:hAnsi="Times New Roman" w:cs="Times New Roman"/>
          <w:sz w:val="24"/>
          <w:szCs w:val="24"/>
        </w:rPr>
        <w:t xml:space="preserve"> w sprawie nowelizacji E</w:t>
      </w:r>
      <w:r w:rsidR="00C06873">
        <w:rPr>
          <w:rFonts w:ascii="Times New Roman" w:hAnsi="Times New Roman" w:cs="Times New Roman"/>
          <w:sz w:val="24"/>
          <w:szCs w:val="24"/>
        </w:rPr>
        <w:t>LD</w:t>
      </w:r>
      <w:r>
        <w:rPr>
          <w:rFonts w:ascii="Times New Roman" w:hAnsi="Times New Roman" w:cs="Times New Roman"/>
          <w:sz w:val="24"/>
          <w:szCs w:val="24"/>
        </w:rPr>
        <w:t xml:space="preserve">. Zgodnie z jego treścią, </w:t>
      </w:r>
      <w:r w:rsidRPr="00DD4697">
        <w:rPr>
          <w:rFonts w:ascii="Times New Roman" w:eastAsia="Calibri" w:hAnsi="Times New Roman" w:cs="Times New Roman"/>
          <w:sz w:val="24"/>
          <w:szCs w:val="24"/>
        </w:rPr>
        <w:t>„</w:t>
      </w:r>
      <w:r>
        <w:rPr>
          <w:rFonts w:ascii="Times New Roman" w:eastAsia="Calibri" w:hAnsi="Times New Roman" w:cs="Times New Roman"/>
          <w:sz w:val="24"/>
          <w:szCs w:val="24"/>
        </w:rPr>
        <w:t>c</w:t>
      </w:r>
      <w:r w:rsidRPr="00DD4697">
        <w:rPr>
          <w:rFonts w:ascii="Times New Roman" w:eastAsia="Calibri" w:hAnsi="Times New Roman" w:cs="Times New Roman"/>
          <w:sz w:val="24"/>
          <w:szCs w:val="24"/>
        </w:rPr>
        <w:t xml:space="preserve">elem przekształcenia dyrektywy </w:t>
      </w:r>
      <w:r w:rsidR="00C06873">
        <w:rPr>
          <w:rFonts w:ascii="Times New Roman" w:eastAsia="Calibri" w:hAnsi="Times New Roman" w:cs="Times New Roman"/>
          <w:sz w:val="24"/>
          <w:szCs w:val="24"/>
        </w:rPr>
        <w:t>[ELD – przyp. autora]</w:t>
      </w:r>
      <w:r w:rsidRPr="00DD4697">
        <w:rPr>
          <w:rFonts w:ascii="Times New Roman" w:eastAsia="Calibri" w:hAnsi="Times New Roman" w:cs="Times New Roman"/>
          <w:sz w:val="24"/>
          <w:szCs w:val="24"/>
        </w:rPr>
        <w:t xml:space="preserve"> jest rozszerzenie jej zakresu, ograniczonego obecnie do urządzeń gospodarstwa domowego, aby umożliwić etykietowanie wszystkich produktów związanych z energią z uwzględnieniem sektora gospodarstw domowych, handlowego i przemysłowego, jak również niektórych produktów niewykorzystujących energii, takich jak okna, których stosowanie lub instalacja oferuje znaczny potencjał oszczędności energii (z wyłączeniem środków transportu). </w:t>
      </w:r>
      <w:r w:rsidRPr="00DD4697">
        <w:rPr>
          <w:rFonts w:ascii="Times New Roman" w:eastAsia="Calibri" w:hAnsi="Times New Roman" w:cs="Times New Roman"/>
          <w:sz w:val="24"/>
          <w:szCs w:val="24"/>
        </w:rPr>
        <w:lastRenderedPageBreak/>
        <w:t>Szerszym celem takiej zmiany jest zapewnienie swobodnego przepływu produktów, a także poprawa ich efektywności energetycznej, co przyczyni się do spełnienia wspólnotowych celów dotyczących wzmocnienia rynku wewnętrznego, innowacyjności, konkurencyjności UE, ochrony środowiska oraz walki ze zmianami klimatu. Podejście takie stanowiłoby uzupełnienie istniejących obszarów polityki ochrony środowiska, takich jak – w dziedzinie wykorzystania energii – pakiet energetyczny i klimatyczny przyjęty przez Komisję w styczniu 2008 r.”</w:t>
      </w:r>
      <w:r w:rsidR="00C06873">
        <w:rPr>
          <w:rFonts w:ascii="Times New Roman" w:eastAsia="Calibri" w:hAnsi="Times New Roman" w:cs="Times New Roman"/>
          <w:sz w:val="24"/>
          <w:szCs w:val="24"/>
        </w:rPr>
        <w:t>.</w:t>
      </w:r>
    </w:p>
    <w:p w:rsidR="006F7F9B" w:rsidRPr="00C06873" w:rsidRDefault="006F7F9B" w:rsidP="00C06873">
      <w:pPr>
        <w:autoSpaceDE w:val="0"/>
        <w:autoSpaceDN w:val="0"/>
        <w:adjustRightInd w:val="0"/>
        <w:spacing w:after="120" w:line="360" w:lineRule="auto"/>
        <w:ind w:firstLine="567"/>
        <w:jc w:val="both"/>
        <w:rPr>
          <w:rFonts w:ascii="Times New Roman" w:eastAsia="Calibri" w:hAnsi="Times New Roman" w:cs="Times New Roman"/>
          <w:sz w:val="24"/>
          <w:szCs w:val="24"/>
        </w:rPr>
      </w:pPr>
      <w:r w:rsidRPr="00DD4697">
        <w:rPr>
          <w:rFonts w:ascii="Times New Roman" w:eastAsia="Calibri" w:hAnsi="Times New Roman" w:cs="Times New Roman"/>
          <w:sz w:val="24"/>
          <w:szCs w:val="24"/>
        </w:rPr>
        <w:t xml:space="preserve">9. marca </w:t>
      </w:r>
      <w:r w:rsidR="00C06873">
        <w:rPr>
          <w:rFonts w:ascii="Times New Roman" w:eastAsia="Calibri" w:hAnsi="Times New Roman" w:cs="Times New Roman"/>
          <w:sz w:val="24"/>
          <w:szCs w:val="24"/>
        </w:rPr>
        <w:t xml:space="preserve">b.r. </w:t>
      </w:r>
      <w:r w:rsidRPr="00DD4697">
        <w:rPr>
          <w:rFonts w:ascii="Times New Roman" w:eastAsia="Calibri" w:hAnsi="Times New Roman" w:cs="Times New Roman"/>
          <w:sz w:val="24"/>
          <w:szCs w:val="24"/>
        </w:rPr>
        <w:t>Komisja ds. Przemysłu, Badań Naukowych i Energii P</w:t>
      </w:r>
      <w:r w:rsidRPr="00DD4697">
        <w:rPr>
          <w:rFonts w:ascii="Times New Roman" w:hAnsi="Times New Roman" w:cs="Times New Roman"/>
          <w:sz w:val="24"/>
          <w:szCs w:val="24"/>
        </w:rPr>
        <w:t xml:space="preserve">arlamentu </w:t>
      </w:r>
      <w:r w:rsidRPr="00DD4697">
        <w:rPr>
          <w:rFonts w:ascii="Times New Roman" w:eastAsia="Calibri" w:hAnsi="Times New Roman" w:cs="Times New Roman"/>
          <w:sz w:val="24"/>
          <w:szCs w:val="24"/>
        </w:rPr>
        <w:t>E</w:t>
      </w:r>
      <w:r w:rsidRPr="00DD4697">
        <w:rPr>
          <w:rFonts w:ascii="Times New Roman" w:hAnsi="Times New Roman" w:cs="Times New Roman"/>
          <w:sz w:val="24"/>
          <w:szCs w:val="24"/>
        </w:rPr>
        <w:t>uropejskiego</w:t>
      </w:r>
      <w:r w:rsidRPr="00DD4697">
        <w:rPr>
          <w:rFonts w:ascii="Times New Roman" w:eastAsia="Calibri" w:hAnsi="Times New Roman" w:cs="Times New Roman"/>
          <w:sz w:val="24"/>
          <w:szCs w:val="24"/>
        </w:rPr>
        <w:t xml:space="preserve"> (ITRE) </w:t>
      </w:r>
      <w:r>
        <w:rPr>
          <w:rFonts w:ascii="Times New Roman" w:eastAsia="Calibri" w:hAnsi="Times New Roman" w:cs="Times New Roman"/>
          <w:sz w:val="24"/>
          <w:szCs w:val="24"/>
        </w:rPr>
        <w:t xml:space="preserve">– zgodnie z propozycją sprawozdawcy Pani Poseł Anni Podimata z Grecji (członek grupy Socjalistycznej PE) – </w:t>
      </w:r>
      <w:r w:rsidRPr="00DD4697">
        <w:rPr>
          <w:rFonts w:ascii="Times New Roman" w:eastAsia="Calibri" w:hAnsi="Times New Roman" w:cs="Times New Roman"/>
          <w:sz w:val="24"/>
          <w:szCs w:val="24"/>
        </w:rPr>
        <w:t>przyjęła zmianę dot. wprowadzenia w reklamie konkretnego produktu, zużywającego energię i objętego regulacją tej dyrektywy, informacji dla konsumenta o zużyciu energii lub o klasie</w:t>
      </w:r>
      <w:r w:rsidRPr="00DD4697">
        <w:rPr>
          <w:rFonts w:ascii="Times New Roman" w:hAnsi="Times New Roman" w:cs="Times New Roman"/>
          <w:sz w:val="24"/>
          <w:szCs w:val="24"/>
        </w:rPr>
        <w:t xml:space="preserve"> energetycznej produktu</w:t>
      </w:r>
      <w:r>
        <w:rPr>
          <w:rFonts w:ascii="Times New Roman" w:hAnsi="Times New Roman" w:cs="Times New Roman"/>
          <w:sz w:val="24"/>
          <w:szCs w:val="24"/>
        </w:rPr>
        <w:t xml:space="preserve"> (przyjęto proponowane przez sprawozdawcę brzmienie art. 4 pkt 2a)</w:t>
      </w:r>
      <w:r w:rsidRPr="00DD4697">
        <w:rPr>
          <w:rFonts w:ascii="Times New Roman" w:hAnsi="Times New Roman" w:cs="Times New Roman"/>
          <w:sz w:val="24"/>
          <w:szCs w:val="24"/>
        </w:rPr>
        <w:t>.</w:t>
      </w:r>
    </w:p>
    <w:p w:rsidR="006F7F9B" w:rsidRPr="00C06873" w:rsidRDefault="006F7F9B" w:rsidP="00C06873">
      <w:pPr>
        <w:autoSpaceDE w:val="0"/>
        <w:autoSpaceDN w:val="0"/>
        <w:adjustRightInd w:val="0"/>
        <w:spacing w:line="360" w:lineRule="auto"/>
        <w:ind w:firstLine="567"/>
        <w:jc w:val="both"/>
        <w:rPr>
          <w:rFonts w:ascii="Times New Roman" w:hAnsi="Times New Roman" w:cs="Times New Roman"/>
          <w:sz w:val="24"/>
          <w:szCs w:val="24"/>
        </w:rPr>
      </w:pPr>
      <w:r w:rsidRPr="00633B95">
        <w:rPr>
          <w:rFonts w:ascii="Times New Roman" w:hAnsi="Times New Roman" w:cs="Times New Roman"/>
          <w:sz w:val="24"/>
          <w:szCs w:val="24"/>
        </w:rPr>
        <w:t xml:space="preserve">29. kwietnia </w:t>
      </w:r>
      <w:r w:rsidR="00C06873">
        <w:rPr>
          <w:rFonts w:ascii="Times New Roman" w:hAnsi="Times New Roman" w:cs="Times New Roman"/>
          <w:sz w:val="24"/>
          <w:szCs w:val="24"/>
        </w:rPr>
        <w:t xml:space="preserve">b.r. </w:t>
      </w:r>
      <w:r w:rsidRPr="00633B95">
        <w:rPr>
          <w:rFonts w:ascii="Times New Roman" w:hAnsi="Times New Roman" w:cs="Times New Roman"/>
          <w:sz w:val="24"/>
          <w:szCs w:val="24"/>
        </w:rPr>
        <w:t>Grupa Europejskiej Partii Ludowej (Chrześcijańscy Demokraci) i Europejskich Demokratów</w:t>
      </w:r>
      <w:r>
        <w:rPr>
          <w:rFonts w:ascii="Times New Roman" w:hAnsi="Times New Roman" w:cs="Times New Roman"/>
          <w:sz w:val="24"/>
          <w:szCs w:val="24"/>
        </w:rPr>
        <w:t xml:space="preserve"> zgłosiła poprawkę do propozycji przyjętej przez ITRE dot. art. 4 pkt 2a. Zgodnie z proponowaną treścią </w:t>
      </w:r>
      <w:r w:rsidRPr="00417546">
        <w:rPr>
          <w:rFonts w:ascii="Times New Roman" w:hAnsi="Times New Roman" w:cs="Times New Roman"/>
          <w:sz w:val="24"/>
          <w:szCs w:val="24"/>
        </w:rPr>
        <w:t xml:space="preserve">nowego art. 4 pkt 2a, „jakakolwiek reklama konkretnego modelu urządzenia wykorzystującego energię i objętego zakresem niniejszej dyrektywy, </w:t>
      </w:r>
      <w:r w:rsidRPr="00417546">
        <w:rPr>
          <w:rFonts w:ascii="Times New Roman" w:hAnsi="Times New Roman" w:cs="Times New Roman"/>
          <w:b/>
          <w:sz w:val="24"/>
          <w:szCs w:val="24"/>
        </w:rPr>
        <w:t>mogłaby</w:t>
      </w:r>
      <w:r w:rsidRPr="00417546">
        <w:rPr>
          <w:rFonts w:ascii="Times New Roman" w:hAnsi="Times New Roman" w:cs="Times New Roman"/>
          <w:sz w:val="24"/>
          <w:szCs w:val="24"/>
        </w:rPr>
        <w:t xml:space="preserve">, o ile byłoby to technicznie możliwe, dostarczać użytkownikowi końcowemu niezbędnych informacji dotyczących zużywania lub oszczędzania energii lub </w:t>
      </w:r>
      <w:r w:rsidRPr="00417546">
        <w:rPr>
          <w:rFonts w:ascii="Times New Roman" w:hAnsi="Times New Roman" w:cs="Times New Roman"/>
          <w:b/>
          <w:sz w:val="24"/>
          <w:szCs w:val="24"/>
        </w:rPr>
        <w:t>mogłaby</w:t>
      </w:r>
      <w:r w:rsidRPr="00417546">
        <w:rPr>
          <w:rFonts w:ascii="Times New Roman" w:hAnsi="Times New Roman" w:cs="Times New Roman"/>
          <w:sz w:val="24"/>
          <w:szCs w:val="24"/>
        </w:rPr>
        <w:t xml:space="preserve"> zawierać odniesienie do klasy energetycznej tego modelu”.</w:t>
      </w:r>
    </w:p>
    <w:p w:rsidR="00C06873" w:rsidRDefault="006F7F9B" w:rsidP="006F7F9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6. maja </w:t>
      </w:r>
      <w:r w:rsidR="00C06873">
        <w:rPr>
          <w:rFonts w:ascii="Times New Roman" w:eastAsia="Calibri" w:hAnsi="Times New Roman" w:cs="Times New Roman"/>
          <w:sz w:val="24"/>
          <w:szCs w:val="24"/>
        </w:rPr>
        <w:t xml:space="preserve">b.r. </w:t>
      </w:r>
      <w:r w:rsidR="00E40EA0">
        <w:rPr>
          <w:rFonts w:ascii="Times New Roman" w:eastAsia="Calibri" w:hAnsi="Times New Roman" w:cs="Times New Roman"/>
          <w:sz w:val="24"/>
          <w:szCs w:val="24"/>
        </w:rPr>
        <w:t xml:space="preserve">PE odrzucił </w:t>
      </w:r>
      <w:r>
        <w:rPr>
          <w:rFonts w:ascii="Times New Roman" w:eastAsia="Calibri" w:hAnsi="Times New Roman" w:cs="Times New Roman"/>
          <w:sz w:val="24"/>
          <w:szCs w:val="24"/>
        </w:rPr>
        <w:t>poprawkę zgłoszoną przez EPP-ED. Na obecnym etapie propozycja nowelizacji dyrektywy, wprowadza</w:t>
      </w:r>
      <w:r w:rsidRPr="00DD4697">
        <w:rPr>
          <w:rFonts w:ascii="Times New Roman" w:hAnsi="Times New Roman" w:cs="Times New Roman"/>
          <w:sz w:val="24"/>
          <w:szCs w:val="24"/>
        </w:rPr>
        <w:t xml:space="preserve"> obowiąz</w:t>
      </w:r>
      <w:r>
        <w:rPr>
          <w:rFonts w:ascii="Times New Roman" w:hAnsi="Times New Roman" w:cs="Times New Roman"/>
          <w:sz w:val="24"/>
          <w:szCs w:val="24"/>
        </w:rPr>
        <w:t>ek</w:t>
      </w:r>
      <w:r w:rsidRPr="00DD4697">
        <w:rPr>
          <w:rFonts w:ascii="Times New Roman" w:hAnsi="Times New Roman" w:cs="Times New Roman"/>
          <w:sz w:val="24"/>
          <w:szCs w:val="24"/>
        </w:rPr>
        <w:t xml:space="preserve"> informowania o zużyciu energii w reklamie</w:t>
      </w:r>
      <w:r>
        <w:rPr>
          <w:rFonts w:ascii="Times New Roman" w:hAnsi="Times New Roman" w:cs="Times New Roman"/>
          <w:sz w:val="24"/>
          <w:szCs w:val="24"/>
        </w:rPr>
        <w:t>. Zgodnie z wnioskiem Komisji Europejskiej mogłoby nastąpić to poprzez zamiesz</w:t>
      </w:r>
      <w:r w:rsidR="00C06873">
        <w:rPr>
          <w:rFonts w:ascii="Times New Roman" w:hAnsi="Times New Roman" w:cs="Times New Roman"/>
          <w:sz w:val="24"/>
          <w:szCs w:val="24"/>
        </w:rPr>
        <w:t>c</w:t>
      </w:r>
      <w:r>
        <w:rPr>
          <w:rFonts w:ascii="Times New Roman" w:hAnsi="Times New Roman" w:cs="Times New Roman"/>
          <w:sz w:val="24"/>
          <w:szCs w:val="24"/>
        </w:rPr>
        <w:t>zenie</w:t>
      </w:r>
      <w:r w:rsidRPr="00DD4697">
        <w:rPr>
          <w:rFonts w:ascii="Times New Roman" w:hAnsi="Times New Roman" w:cs="Times New Roman"/>
          <w:sz w:val="24"/>
          <w:szCs w:val="24"/>
        </w:rPr>
        <w:t xml:space="preserve"> jakiegoś znaku graficznego (</w:t>
      </w:r>
      <w:r>
        <w:rPr>
          <w:rFonts w:ascii="Times New Roman" w:hAnsi="Times New Roman" w:cs="Times New Roman"/>
          <w:sz w:val="24"/>
          <w:szCs w:val="24"/>
        </w:rPr>
        <w:t>np. tego, jaki jest stosowany obecnie w odniesieniu do pralek, lodówek, zamrażarek, itp.</w:t>
      </w:r>
      <w:r w:rsidRPr="00DD4697">
        <w:rPr>
          <w:rFonts w:ascii="Times New Roman" w:hAnsi="Times New Roman" w:cs="Times New Roman"/>
          <w:sz w:val="24"/>
          <w:szCs w:val="24"/>
        </w:rPr>
        <w:t>)</w:t>
      </w:r>
      <w:r>
        <w:rPr>
          <w:rFonts w:ascii="Times New Roman" w:hAnsi="Times New Roman" w:cs="Times New Roman"/>
          <w:sz w:val="24"/>
          <w:szCs w:val="24"/>
        </w:rPr>
        <w:t>.</w:t>
      </w:r>
    </w:p>
    <w:p w:rsidR="006F7F9B" w:rsidRDefault="00F47BDC" w:rsidP="00C06873">
      <w:pPr>
        <w:autoSpaceDE w:val="0"/>
        <w:autoSpaceDN w:val="0"/>
        <w:adjustRightInd w:val="0"/>
        <w:spacing w:after="0" w:line="360" w:lineRule="auto"/>
        <w:jc w:val="both"/>
        <w:rPr>
          <w:rFonts w:ascii="Times New Roman" w:hAnsi="Times New Roman" w:cs="Times New Roman"/>
          <w:sz w:val="24"/>
          <w:szCs w:val="24"/>
        </w:rPr>
      </w:pPr>
      <w:r w:rsidRPr="00F47BDC">
        <w:rPr>
          <w:rFonts w:ascii="Times New Roman" w:eastAsia="Calibri" w:hAnsi="Times New Roman" w:cs="Times New Roman"/>
          <w:noProof/>
          <w:sz w:val="24"/>
          <w:szCs w:val="24"/>
          <w:lang w:eastAsia="pl-PL"/>
        </w:rPr>
        <w:pict>
          <v:shapetype id="_x0000_t202" coordsize="21600,21600" o:spt="202" path="m,l,21600r21600,l21600,xe">
            <v:stroke joinstyle="miter"/>
            <v:path gradientshapeok="t" o:connecttype="rect"/>
          </v:shapetype>
          <v:shape id="_x0000_s1026" type="#_x0000_t202" style="position:absolute;left:0;text-align:left;margin-left:.7pt;margin-top:1.35pt;width:113.55pt;height:181.35pt;z-index:251658240" stroked="f">
            <v:textbox>
              <w:txbxContent>
                <w:p w:rsidR="00C932D3" w:rsidRDefault="00C932D3" w:rsidP="00C06873">
                  <w:pPr>
                    <w:spacing w:after="0" w:line="240" w:lineRule="auto"/>
                  </w:pPr>
                </w:p>
                <w:p w:rsidR="00C932D3" w:rsidRDefault="00C932D3">
                  <w:r w:rsidRPr="00C06873">
                    <w:rPr>
                      <w:noProof/>
                      <w:lang w:eastAsia="pl-PL"/>
                    </w:rPr>
                    <w:drawing>
                      <wp:inline distT="0" distB="0" distL="0" distR="0">
                        <wp:extent cx="1018162" cy="1854679"/>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555" cy="1857216"/>
                                </a:xfrm>
                                <a:prstGeom prst="rect">
                                  <a:avLst/>
                                </a:prstGeom>
                                <a:noFill/>
                                <a:ln w="9525">
                                  <a:noFill/>
                                  <a:miter lim="800000"/>
                                  <a:headEnd/>
                                  <a:tailEnd/>
                                </a:ln>
                              </pic:spPr>
                            </pic:pic>
                          </a:graphicData>
                        </a:graphic>
                      </wp:inline>
                    </w:drawing>
                  </w:r>
                </w:p>
              </w:txbxContent>
            </v:textbox>
            <w10:wrap type="square"/>
          </v:shape>
        </w:pict>
      </w:r>
      <w:r w:rsidR="00C06873">
        <w:rPr>
          <w:rFonts w:ascii="Times New Roman" w:hAnsi="Times New Roman" w:cs="Times New Roman"/>
          <w:sz w:val="24"/>
          <w:szCs w:val="24"/>
        </w:rPr>
        <w:t>Tego typu znak mógł</w:t>
      </w:r>
      <w:r w:rsidR="006F7F9B">
        <w:rPr>
          <w:rFonts w:ascii="Times New Roman" w:hAnsi="Times New Roman" w:cs="Times New Roman"/>
          <w:sz w:val="24"/>
          <w:szCs w:val="24"/>
        </w:rPr>
        <w:t xml:space="preserve">by jednak zniszczyć </w:t>
      </w:r>
      <w:r w:rsidR="00C06873">
        <w:rPr>
          <w:rFonts w:ascii="Times New Roman" w:hAnsi="Times New Roman" w:cs="Times New Roman"/>
          <w:sz w:val="24"/>
          <w:szCs w:val="24"/>
        </w:rPr>
        <w:t>koncepcję reklamową i zwiększył</w:t>
      </w:r>
      <w:r w:rsidR="006F7F9B">
        <w:rPr>
          <w:rFonts w:ascii="Times New Roman" w:hAnsi="Times New Roman" w:cs="Times New Roman"/>
          <w:sz w:val="24"/>
          <w:szCs w:val="24"/>
        </w:rPr>
        <w:t xml:space="preserve">by zapewne powierzchnię reklamy, co przełożyłoby się na wzrost jej ceny i zmniejszenie jej atrakcyjności dla potencjalnego reklamodawcy. W innych mediach, skutki te nie będą tak drastyczne, ze względu na możliwość stosowania zabiegów technicznych i „dynamiczną formę” reklamy. W prasie, natomiast, reklama ma charakter statyczny – coś co jest wydrukowane nie </w:t>
      </w:r>
      <w:r w:rsidR="006F7F9B">
        <w:rPr>
          <w:rFonts w:ascii="Times New Roman" w:hAnsi="Times New Roman" w:cs="Times New Roman"/>
          <w:sz w:val="24"/>
          <w:szCs w:val="24"/>
        </w:rPr>
        <w:lastRenderedPageBreak/>
        <w:t>zniknie i nie zmieni się. W związku z tym, producenci urządzeń o niższej klasie energetycznej (zużywających więcej energii) zrezygnują zapewne z reklamy w prasie i przeniosą swoje środki do innych kanałów komunikacji.</w:t>
      </w:r>
    </w:p>
    <w:p w:rsidR="009432FC" w:rsidRDefault="006F7F9B" w:rsidP="009432F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Wprowadzenie obowiązkowego znaku graficznego w odniesieniu do urządzeń AGD miałoby jeszcze inne, istotne i negatywne znaczenie. Stanowiłoby ono bowiem precedens i – w konsekwencji – otwierałoby drogę do wprowadzenia oznakowania w reklamach innych produktów (np. samochodów). Gdyby tak się stało, skutki dla prasy byłyby jeszcze bardziej dotkliwe – wystarczy wspomnieć o tym, iż dochody z reklam samochodów „National Geographic”, który informuje o środowisku, zmianach klimatycznych itp., wynoszą – w zależności od wersji językowej – 30-50% dochodów z reklam).</w:t>
      </w:r>
    </w:p>
    <w:p w:rsidR="006F7F9B" w:rsidRDefault="006F7F9B" w:rsidP="006F7F9B">
      <w:pPr>
        <w:autoSpaceDE w:val="0"/>
        <w:autoSpaceDN w:val="0"/>
        <w:adjustRightInd w:val="0"/>
        <w:spacing w:after="0" w:line="360" w:lineRule="auto"/>
        <w:ind w:firstLine="567"/>
        <w:jc w:val="both"/>
        <w:rPr>
          <w:rFonts w:ascii="Times New Roman" w:hAnsi="Times New Roman" w:cs="Times New Roman"/>
          <w:sz w:val="24"/>
          <w:szCs w:val="24"/>
        </w:rPr>
      </w:pPr>
      <w:r w:rsidRPr="006F7F9B">
        <w:rPr>
          <w:rFonts w:ascii="Times New Roman" w:hAnsi="Times New Roman" w:cs="Times New Roman"/>
          <w:sz w:val="24"/>
          <w:szCs w:val="24"/>
        </w:rPr>
        <w:t>Projekt dyrektywy trafi teraz ponownie do Rady i Komisji Europejskiej. Na tym szczeblu należy podjąć wszelkie starania, by przekonać organy UE do wprowadzenia zasady dobrowolności w zakresie informowania o energochłonności danego urządzenia w jego reklamie prasowej. Pojawia się na to szansa – zgodnie, bowiem, z opinią części prawników, PE nie posiada kompetencji do wprowadzenia zmiany, której nie zawierał dokument początkowy, zaprezentowany przez Komisję (a w związku z tym potencjalne skutki takiej zmiany nie zostały objęte tzw. „oceną wpływu” [impact assessment]). Jeśli to się nie uda, można spodziewać się, że ta obligacja zacznie obowiązywać w Polsce za ok. 3 lata.</w:t>
      </w:r>
    </w:p>
    <w:p w:rsidR="002239DE" w:rsidRDefault="002239DE" w:rsidP="005A2B8F">
      <w:pPr>
        <w:autoSpaceDE w:val="0"/>
        <w:autoSpaceDN w:val="0"/>
        <w:adjustRightInd w:val="0"/>
        <w:spacing w:before="240" w:after="120" w:line="360" w:lineRule="auto"/>
        <w:jc w:val="both"/>
        <w:rPr>
          <w:rFonts w:ascii="Times New Roman" w:hAnsi="Times New Roman" w:cs="Times New Roman"/>
          <w:b/>
          <w:sz w:val="24"/>
          <w:szCs w:val="24"/>
        </w:rPr>
      </w:pPr>
      <w:r w:rsidRPr="002239DE">
        <w:rPr>
          <w:rFonts w:ascii="Times New Roman" w:hAnsi="Times New Roman" w:cs="Times New Roman"/>
          <w:b/>
          <w:sz w:val="24"/>
          <w:szCs w:val="24"/>
        </w:rPr>
        <w:t>Stanowisko</w:t>
      </w:r>
      <w:r>
        <w:rPr>
          <w:rFonts w:ascii="Times New Roman" w:hAnsi="Times New Roman" w:cs="Times New Roman"/>
          <w:b/>
          <w:sz w:val="24"/>
          <w:szCs w:val="24"/>
        </w:rPr>
        <w:t>:</w:t>
      </w:r>
    </w:p>
    <w:p w:rsidR="002239DE" w:rsidRPr="002239DE" w:rsidRDefault="002239DE" w:rsidP="005A2B8F">
      <w:pPr>
        <w:autoSpaceDE w:val="0"/>
        <w:autoSpaceDN w:val="0"/>
        <w:adjustRightInd w:val="0"/>
        <w:spacing w:after="0" w:line="360" w:lineRule="auto"/>
        <w:ind w:firstLine="567"/>
        <w:jc w:val="both"/>
        <w:rPr>
          <w:rFonts w:ascii="Times New Roman" w:hAnsi="Times New Roman" w:cs="Times New Roman"/>
          <w:sz w:val="24"/>
          <w:szCs w:val="24"/>
        </w:rPr>
      </w:pPr>
      <w:r w:rsidRPr="002239DE">
        <w:rPr>
          <w:rFonts w:ascii="Times New Roman" w:hAnsi="Times New Roman" w:cs="Times New Roman"/>
          <w:sz w:val="24"/>
          <w:szCs w:val="24"/>
        </w:rPr>
        <w:t xml:space="preserve">Zdaniem </w:t>
      </w:r>
      <w:r>
        <w:rPr>
          <w:rFonts w:ascii="Times New Roman" w:hAnsi="Times New Roman" w:cs="Times New Roman"/>
          <w:sz w:val="24"/>
          <w:szCs w:val="24"/>
        </w:rPr>
        <w:t>Izby Wydawców Prasy i jej europejskich przedstawicieli, należy opowiedzieć się za dobrowolnym zamieszczeniem w reklamie informacji dot. zużycia energii danego produktu. Przemawiają za tym następujące argumenty:</w:t>
      </w:r>
    </w:p>
    <w:p w:rsidR="002239DE" w:rsidRPr="00417546" w:rsidRDefault="002239DE" w:rsidP="005A2B8F">
      <w:pPr>
        <w:pStyle w:val="Akapitzlist"/>
        <w:numPr>
          <w:ilvl w:val="0"/>
          <w:numId w:val="9"/>
        </w:numPr>
        <w:spacing w:before="120" w:after="120" w:line="360" w:lineRule="auto"/>
        <w:ind w:left="714" w:hanging="357"/>
        <w:jc w:val="both"/>
        <w:rPr>
          <w:rFonts w:ascii="Times New Roman" w:hAnsi="Times New Roman" w:cs="Times New Roman"/>
          <w:sz w:val="24"/>
          <w:u w:val="single"/>
        </w:rPr>
      </w:pPr>
      <w:r w:rsidRPr="00417546">
        <w:rPr>
          <w:rFonts w:ascii="Times New Roman" w:hAnsi="Times New Roman" w:cs="Times New Roman"/>
          <w:sz w:val="24"/>
          <w:u w:val="single"/>
        </w:rPr>
        <w:t>Obowiązujący obecnie system jest skuteczny i funkcjonalny</w:t>
      </w:r>
    </w:p>
    <w:p w:rsidR="002239DE" w:rsidRPr="00633B95" w:rsidRDefault="002239DE" w:rsidP="005A2B8F">
      <w:pPr>
        <w:spacing w:after="120" w:line="360" w:lineRule="auto"/>
        <w:ind w:firstLine="567"/>
        <w:jc w:val="both"/>
        <w:rPr>
          <w:rFonts w:ascii="Times New Roman" w:hAnsi="Times New Roman" w:cs="Times New Roman"/>
          <w:sz w:val="24"/>
        </w:rPr>
      </w:pPr>
      <w:r w:rsidRPr="00633B95">
        <w:rPr>
          <w:rFonts w:ascii="Times New Roman" w:hAnsi="Times New Roman" w:cs="Times New Roman"/>
          <w:sz w:val="24"/>
        </w:rPr>
        <w:t xml:space="preserve">Obowiązująca obecnie dyrektywa to doskonały przykład efektywnego i funkcjonalnego systemu dogłębnego informowania konsumentów, zanim zdecydują się oni na dokonanie zakupu. Zgodnie z obowiązującym obecnie ustawodawstwem, informacje odnoszące się do zużycia energii elektrycznej, innych form energii oraz innych podstawowych surowców, a także informacje dodatkowe, muszą zostać przekazane konsumentowi za pomocą mikrofilmu lub etykiety, bezpośrednio w salonie sprzedaży lub pośrednio za pomocą instrumentów sprzedaży na odległość. Dzięki temu obowiązkowi konsument otrzymuje dokładne, istotne i porównywalne informacje o specyfice zużycia energii oraz innych podstawowych surowców przez dany produkt i w związku z tym może dokonywać przy jego zakupie świadomego </w:t>
      </w:r>
      <w:r w:rsidRPr="00633B95">
        <w:rPr>
          <w:rFonts w:ascii="Times New Roman" w:hAnsi="Times New Roman" w:cs="Times New Roman"/>
          <w:sz w:val="24"/>
        </w:rPr>
        <w:lastRenderedPageBreak/>
        <w:t>wyboru. Ponadto, wielu konsumentów poszukuje produktów na stronach internetowych producenta lub sprzedawcy, na których z łatwością otrzymuje się wszelkie informacje.</w:t>
      </w:r>
    </w:p>
    <w:p w:rsidR="002239DE" w:rsidRPr="00417546" w:rsidRDefault="002239DE" w:rsidP="002239DE">
      <w:pPr>
        <w:pStyle w:val="Akapitzlist"/>
        <w:numPr>
          <w:ilvl w:val="0"/>
          <w:numId w:val="9"/>
        </w:numPr>
        <w:spacing w:after="120" w:line="360" w:lineRule="auto"/>
        <w:jc w:val="both"/>
        <w:rPr>
          <w:rFonts w:ascii="Times New Roman" w:hAnsi="Times New Roman" w:cs="Times New Roman"/>
          <w:sz w:val="24"/>
          <w:u w:val="single"/>
        </w:rPr>
      </w:pPr>
      <w:r w:rsidRPr="00417546">
        <w:rPr>
          <w:rFonts w:ascii="Times New Roman" w:hAnsi="Times New Roman" w:cs="Times New Roman"/>
          <w:sz w:val="24"/>
          <w:u w:val="single"/>
        </w:rPr>
        <w:t>Ważna rola mediów w informowaniu o kwestiach ekologicznych</w:t>
      </w:r>
    </w:p>
    <w:p w:rsidR="002239DE" w:rsidRPr="00633B95" w:rsidRDefault="002239DE" w:rsidP="005A2B8F">
      <w:pPr>
        <w:spacing w:after="120" w:line="360" w:lineRule="auto"/>
        <w:ind w:firstLine="567"/>
        <w:jc w:val="both"/>
        <w:rPr>
          <w:rFonts w:ascii="Times New Roman" w:hAnsi="Times New Roman" w:cs="Times New Roman"/>
          <w:sz w:val="24"/>
        </w:rPr>
      </w:pPr>
      <w:r w:rsidRPr="00633B95">
        <w:rPr>
          <w:rFonts w:ascii="Times New Roman" w:hAnsi="Times New Roman" w:cs="Times New Roman"/>
          <w:sz w:val="24"/>
        </w:rPr>
        <w:t>Wolne media odgrywają kluczową rolę w uzupełnianiu nadrzędnych celów strategicznych Unii Europejskiej w kwestiach ochrony środowiska, dzięki inicjowaniu za pośrednictwem materiałów redakcyjnych debaty na ten temat wśród obywateli Europy. Czynią to o wiele lepiej niż inne środki przekazu. Wolne media to nieodzowny element walki ze zmianami klimatycznymi w Europie oraz podnoszenia świadomości społecznej, jeśli chodzi o ochronę środowiska. Dla rozwiązywania tych kwestii niezbędne jest utrzymywanie żywej, niezależnej, wysokiej jakościowo prasy.</w:t>
      </w:r>
    </w:p>
    <w:p w:rsidR="002239DE" w:rsidRPr="00417546" w:rsidRDefault="002239DE" w:rsidP="002239DE">
      <w:pPr>
        <w:numPr>
          <w:ilvl w:val="0"/>
          <w:numId w:val="9"/>
        </w:numPr>
        <w:spacing w:after="120" w:line="360" w:lineRule="auto"/>
        <w:jc w:val="both"/>
        <w:rPr>
          <w:rFonts w:ascii="Times New Roman" w:hAnsi="Times New Roman" w:cs="Times New Roman"/>
          <w:sz w:val="24"/>
          <w:u w:val="single"/>
        </w:rPr>
      </w:pPr>
      <w:r w:rsidRPr="00417546">
        <w:rPr>
          <w:rFonts w:ascii="Times New Roman" w:hAnsi="Times New Roman" w:cs="Times New Roman"/>
          <w:sz w:val="24"/>
          <w:u w:val="single"/>
        </w:rPr>
        <w:t>Swoboda reklamowania to niezbędny składnik wolności prasy</w:t>
      </w:r>
    </w:p>
    <w:p w:rsidR="002239DE" w:rsidRPr="00633B95" w:rsidRDefault="002239DE" w:rsidP="005A2B8F">
      <w:pPr>
        <w:spacing w:after="120" w:line="360" w:lineRule="auto"/>
        <w:ind w:firstLine="567"/>
        <w:jc w:val="both"/>
        <w:rPr>
          <w:rFonts w:ascii="Times New Roman" w:hAnsi="Times New Roman" w:cs="Times New Roman"/>
          <w:sz w:val="24"/>
        </w:rPr>
      </w:pPr>
      <w:r w:rsidRPr="00633B95">
        <w:rPr>
          <w:rFonts w:ascii="Times New Roman" w:hAnsi="Times New Roman" w:cs="Times New Roman"/>
          <w:sz w:val="24"/>
        </w:rPr>
        <w:t>Reklamy są nieodzownym źródłem finansowania zróżnicowanego, pluralistycznego pejzażu medialnego, a dochody z reklam gwarantują, że media mogą nadal służyć jako forum demokratycznej dyskusji o ważnych sprawach, takich jak zmiany klimatyczne czy wydajne zużywanie energii. To ważne źródło dochodu prasy mogłoby odnieść poważne szkody, w przypadku gdyby rozwiązania prawne nakazywały zamieszczenie w reklamach negatywnych informacji o wydajności energetycznej produktów.</w:t>
      </w:r>
    </w:p>
    <w:p w:rsidR="005A2B8F" w:rsidRDefault="002239DE" w:rsidP="005A2B8F">
      <w:pPr>
        <w:spacing w:after="120" w:line="360" w:lineRule="auto"/>
        <w:ind w:firstLine="567"/>
        <w:jc w:val="both"/>
        <w:rPr>
          <w:rFonts w:ascii="Times New Roman" w:hAnsi="Times New Roman" w:cs="Times New Roman"/>
          <w:sz w:val="24"/>
        </w:rPr>
      </w:pPr>
      <w:r w:rsidRPr="00633B95">
        <w:rPr>
          <w:rFonts w:ascii="Times New Roman" w:hAnsi="Times New Roman" w:cs="Times New Roman"/>
          <w:sz w:val="24"/>
        </w:rPr>
        <w:t xml:space="preserve">Z niepokojem zauważamy, iż propozycje wprowadzania obowiązkowych wymogów informowania w działalności reklamowej, staje się powoli szeroko akceptowaną częścią </w:t>
      </w:r>
      <w:r w:rsidRPr="00633B95">
        <w:rPr>
          <w:rFonts w:ascii="Times New Roman" w:hAnsi="Times New Roman" w:cs="Times New Roman"/>
          <w:i/>
          <w:sz w:val="24"/>
        </w:rPr>
        <w:t>acqius communautaire</w:t>
      </w:r>
      <w:r w:rsidRPr="00633B95">
        <w:rPr>
          <w:rFonts w:ascii="Times New Roman" w:hAnsi="Times New Roman" w:cs="Times New Roman"/>
          <w:sz w:val="24"/>
        </w:rPr>
        <w:t xml:space="preserve">. Nawet gdyby wspomniane rozwiązania proponowane były w słusznej sprawie, takiej jak ochrona środowiska i zmiany klimatyczne, to i tak wolność reklamowania – podstawowa zasada wolnej prasy – poniosłaby znaczne szkody i to bez jakichkolwiek strukturalnych konsekwencji. </w:t>
      </w:r>
    </w:p>
    <w:p w:rsidR="002239DE" w:rsidRPr="00633B95" w:rsidRDefault="002239DE" w:rsidP="005A2B8F">
      <w:pPr>
        <w:spacing w:after="120" w:line="360" w:lineRule="auto"/>
        <w:ind w:firstLine="567"/>
        <w:jc w:val="both"/>
        <w:rPr>
          <w:rFonts w:ascii="Times New Roman" w:hAnsi="Times New Roman" w:cs="Times New Roman"/>
          <w:sz w:val="24"/>
        </w:rPr>
      </w:pPr>
      <w:r w:rsidRPr="00633B95">
        <w:rPr>
          <w:rFonts w:ascii="Times New Roman" w:hAnsi="Times New Roman" w:cs="Times New Roman"/>
          <w:sz w:val="24"/>
        </w:rPr>
        <w:t xml:space="preserve">Dochody z reklam stają się z dnia na dzień coraz ważniejsze, jako że prasa w coraz większym stopniu dostępna jest w postaci elektronicznej </w:t>
      </w:r>
      <w:r w:rsidRPr="00633B95">
        <w:rPr>
          <w:rFonts w:ascii="Times New Roman" w:hAnsi="Times New Roman" w:cs="Times New Roman"/>
          <w:i/>
          <w:sz w:val="24"/>
        </w:rPr>
        <w:t>online</w:t>
      </w:r>
      <w:r w:rsidRPr="00633B95">
        <w:rPr>
          <w:rFonts w:ascii="Times New Roman" w:hAnsi="Times New Roman" w:cs="Times New Roman"/>
          <w:sz w:val="24"/>
        </w:rPr>
        <w:t xml:space="preserve">, przez co nie generuje się żadnych przychodów ze sprzedaży. Jeśli działalność reklamowa mediów zostanie zniszczona, prasa straci podstawą finansową, której nie da się zastąpić. W przypadku produktów wykorzystujących energię, nakłady na reklamę najprawdopodobniej zostaną przeniesione do innych działań marketingowych. Tym samym media doznają niesprawiedliwego i bezzasadnego uszczerbku w postaci utraty kluczowych dochodów z reklam, a obywatele – w konsekwencji – stracą dostęp do obszernych informacji redakcyjnych dotyczących kwestii </w:t>
      </w:r>
      <w:r w:rsidRPr="00633B95">
        <w:rPr>
          <w:rFonts w:ascii="Times New Roman" w:hAnsi="Times New Roman" w:cs="Times New Roman"/>
          <w:sz w:val="24"/>
        </w:rPr>
        <w:lastRenderedPageBreak/>
        <w:t>ekologicznych. Jest to szczególnie niebezpieczne w dobie kryzysu ekonomicznego, gdy dochody z reklam wszystkich mediów drastycznie spadają.</w:t>
      </w:r>
    </w:p>
    <w:p w:rsidR="002239DE" w:rsidRPr="00417546" w:rsidRDefault="002239DE" w:rsidP="002239DE">
      <w:pPr>
        <w:numPr>
          <w:ilvl w:val="0"/>
          <w:numId w:val="9"/>
        </w:numPr>
        <w:spacing w:after="120" w:line="360" w:lineRule="auto"/>
        <w:jc w:val="both"/>
        <w:rPr>
          <w:rFonts w:ascii="Times New Roman" w:hAnsi="Times New Roman" w:cs="Times New Roman"/>
          <w:sz w:val="24"/>
          <w:u w:val="single"/>
        </w:rPr>
      </w:pPr>
      <w:r w:rsidRPr="00417546">
        <w:rPr>
          <w:rFonts w:ascii="Times New Roman" w:hAnsi="Times New Roman" w:cs="Times New Roman"/>
          <w:sz w:val="24"/>
          <w:u w:val="single"/>
        </w:rPr>
        <w:t>Rola reklam w promowaniu różnych marek i kluczowych cech produktów i usług</w:t>
      </w:r>
    </w:p>
    <w:p w:rsidR="002239DE" w:rsidRDefault="002239DE" w:rsidP="005A2B8F">
      <w:pPr>
        <w:spacing w:after="120" w:line="360" w:lineRule="auto"/>
        <w:ind w:firstLine="567"/>
        <w:jc w:val="both"/>
        <w:rPr>
          <w:rFonts w:ascii="Times New Roman" w:hAnsi="Times New Roman" w:cs="Times New Roman"/>
          <w:sz w:val="24"/>
          <w:szCs w:val="24"/>
        </w:rPr>
      </w:pPr>
      <w:r w:rsidRPr="00633B95">
        <w:rPr>
          <w:rFonts w:ascii="Times New Roman" w:hAnsi="Times New Roman" w:cs="Times New Roman"/>
          <w:sz w:val="24"/>
        </w:rPr>
        <w:t>Reklamy to nie etykietowanie. Naszym zdaniem, wszystkie obowiązkowe informacje zamieszczane w reklamach nie przynoszą korzyści konsumentom, a jedynie straty, jeśli chodzi o skuteczność reklam medialnych. Rolą reklam jest, między innymi, promowanie różnych marek oraz kluczowych cech danego produktu lub danej usługi. Rolą reklamy nie jest zatem szczegółowe informowanie konsumenta. Zadanie takie mają do spełnienia broszury, strony internetowe firm oraz salony sprzedaży, gdzie konsument ma więcej czasu i może zwrócić baczniejszą uwagę na ważne detale.</w:t>
      </w:r>
      <w:r>
        <w:rPr>
          <w:rFonts w:ascii="Times New Roman" w:hAnsi="Times New Roman" w:cs="Times New Roman"/>
          <w:sz w:val="24"/>
          <w:szCs w:val="24"/>
        </w:rPr>
        <w:t xml:space="preserve"> </w:t>
      </w:r>
    </w:p>
    <w:p w:rsidR="00E40EA0" w:rsidRPr="006F7F9B" w:rsidRDefault="00E40EA0" w:rsidP="006F7F9B">
      <w:pPr>
        <w:autoSpaceDE w:val="0"/>
        <w:autoSpaceDN w:val="0"/>
        <w:adjustRightInd w:val="0"/>
        <w:spacing w:after="0" w:line="360" w:lineRule="auto"/>
        <w:ind w:firstLine="567"/>
        <w:jc w:val="both"/>
        <w:rPr>
          <w:rFonts w:ascii="Times New Roman" w:hAnsi="Times New Roman" w:cs="Times New Roman"/>
          <w:sz w:val="24"/>
          <w:szCs w:val="24"/>
        </w:rPr>
      </w:pPr>
    </w:p>
    <w:p w:rsidR="00F7649C" w:rsidRPr="006F7F9B" w:rsidRDefault="00F7649C" w:rsidP="006F7F9B">
      <w:pPr>
        <w:pStyle w:val="Akapitzlist"/>
        <w:numPr>
          <w:ilvl w:val="0"/>
          <w:numId w:val="5"/>
        </w:numPr>
        <w:spacing w:after="120" w:line="360" w:lineRule="auto"/>
        <w:jc w:val="both"/>
        <w:rPr>
          <w:rFonts w:ascii="Times New Roman" w:hAnsi="Times New Roman" w:cs="Times New Roman"/>
          <w:b/>
          <w:color w:val="000000"/>
          <w:sz w:val="24"/>
          <w:szCs w:val="24"/>
          <w:lang w:val="en-GB"/>
        </w:rPr>
      </w:pPr>
      <w:r w:rsidRPr="006F7F9B">
        <w:rPr>
          <w:rFonts w:ascii="Times New Roman" w:hAnsi="Times New Roman" w:cs="Times New Roman"/>
          <w:b/>
          <w:color w:val="000000"/>
          <w:sz w:val="24"/>
          <w:szCs w:val="24"/>
          <w:lang w:val="en-GB"/>
        </w:rPr>
        <w:t>CAR FUEL EFFICIENCY LABELLING DIRECTIVE</w:t>
      </w:r>
      <w:r w:rsidR="005103B0">
        <w:rPr>
          <w:rStyle w:val="Odwoanieprzypisudolnego"/>
          <w:rFonts w:ascii="Times New Roman" w:hAnsi="Times New Roman" w:cs="Times New Roman"/>
          <w:b/>
          <w:color w:val="000000"/>
          <w:sz w:val="24"/>
          <w:szCs w:val="24"/>
          <w:lang w:val="en-GB"/>
        </w:rPr>
        <w:footnoteReference w:id="22"/>
      </w:r>
    </w:p>
    <w:p w:rsidR="002239DE" w:rsidRDefault="001C04AD" w:rsidP="002239D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lutego </w:t>
      </w:r>
      <w:r w:rsidR="002239DE">
        <w:rPr>
          <w:rFonts w:ascii="Times New Roman" w:hAnsi="Times New Roman" w:cs="Times New Roman"/>
          <w:sz w:val="24"/>
          <w:szCs w:val="24"/>
        </w:rPr>
        <w:t xml:space="preserve">2007 r. KE przyjęła strategię poświęconą redukcji emisji </w:t>
      </w:r>
      <w:r w:rsidR="002239DE" w:rsidRPr="009432FC">
        <w:rPr>
          <w:rFonts w:ascii="Times New Roman" w:hAnsi="Times New Roman" w:cs="Times New Roman"/>
          <w:sz w:val="24"/>
          <w:szCs w:val="24"/>
        </w:rPr>
        <w:t>CO</w:t>
      </w:r>
      <w:r w:rsidR="002239DE" w:rsidRPr="004734ED">
        <w:rPr>
          <w:rFonts w:ascii="Times New Roman" w:hAnsi="Times New Roman" w:cs="Times New Roman"/>
          <w:sz w:val="24"/>
          <w:szCs w:val="24"/>
          <w:vertAlign w:val="subscript"/>
        </w:rPr>
        <w:t>2</w:t>
      </w:r>
      <w:r w:rsidR="002239DE">
        <w:rPr>
          <w:rFonts w:ascii="Times New Roman" w:hAnsi="Times New Roman" w:cs="Times New Roman"/>
          <w:sz w:val="24"/>
          <w:szCs w:val="24"/>
        </w:rPr>
        <w:t xml:space="preserve">. W konsekwencji rozpoczęto prace nad rewizją ww. dyrektywy. </w:t>
      </w:r>
      <w:r w:rsidR="002239DE" w:rsidRPr="001C04AD">
        <w:rPr>
          <w:rFonts w:ascii="Times New Roman" w:hAnsi="Times New Roman" w:cs="Times New Roman"/>
          <w:sz w:val="24"/>
          <w:szCs w:val="24"/>
        </w:rPr>
        <w:t>Zajmowano się nią m.in. w DG ds. Środowiska, a odpowiedzialnym ze strony Komisji za to zagadnienie jest Komisarz Stavros Dimas.</w:t>
      </w:r>
    </w:p>
    <w:p w:rsidR="001C04AD" w:rsidRDefault="002239DE" w:rsidP="002239D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Równolegle, 2</w:t>
      </w:r>
      <w:r w:rsidR="004734ED">
        <w:rPr>
          <w:rFonts w:ascii="Times New Roman" w:hAnsi="Times New Roman" w:cs="Times New Roman"/>
          <w:sz w:val="24"/>
          <w:szCs w:val="24"/>
        </w:rPr>
        <w:t>4</w:t>
      </w:r>
      <w:r w:rsidR="00383FE2" w:rsidRPr="009432FC">
        <w:rPr>
          <w:rFonts w:ascii="Times New Roman" w:hAnsi="Times New Roman" w:cs="Times New Roman"/>
          <w:sz w:val="24"/>
          <w:szCs w:val="24"/>
        </w:rPr>
        <w:t xml:space="preserve">. </w:t>
      </w:r>
      <w:r w:rsidR="004734ED">
        <w:rPr>
          <w:rFonts w:ascii="Times New Roman" w:hAnsi="Times New Roman" w:cs="Times New Roman"/>
          <w:sz w:val="24"/>
          <w:szCs w:val="24"/>
        </w:rPr>
        <w:t xml:space="preserve">października </w:t>
      </w:r>
      <w:r w:rsidR="00383FE2" w:rsidRPr="009432FC">
        <w:rPr>
          <w:rFonts w:ascii="Times New Roman" w:hAnsi="Times New Roman" w:cs="Times New Roman"/>
          <w:sz w:val="24"/>
          <w:szCs w:val="24"/>
        </w:rPr>
        <w:t xml:space="preserve">2007 </w:t>
      </w:r>
      <w:r w:rsidR="004734ED">
        <w:rPr>
          <w:rFonts w:ascii="Times New Roman" w:hAnsi="Times New Roman" w:cs="Times New Roman"/>
          <w:sz w:val="24"/>
          <w:szCs w:val="24"/>
        </w:rPr>
        <w:t xml:space="preserve">roku </w:t>
      </w:r>
      <w:r w:rsidR="00383FE2" w:rsidRPr="009432FC">
        <w:rPr>
          <w:rFonts w:ascii="Times New Roman" w:hAnsi="Times New Roman" w:cs="Times New Roman"/>
          <w:sz w:val="24"/>
          <w:szCs w:val="24"/>
        </w:rPr>
        <w:t>P</w:t>
      </w:r>
      <w:r w:rsidR="004734ED">
        <w:rPr>
          <w:rFonts w:ascii="Times New Roman" w:hAnsi="Times New Roman" w:cs="Times New Roman"/>
          <w:sz w:val="24"/>
          <w:szCs w:val="24"/>
        </w:rPr>
        <w:t>E przyjął</w:t>
      </w:r>
      <w:r w:rsidR="00383FE2" w:rsidRPr="009432FC">
        <w:rPr>
          <w:rFonts w:ascii="Times New Roman" w:hAnsi="Times New Roman" w:cs="Times New Roman"/>
          <w:sz w:val="24"/>
          <w:szCs w:val="24"/>
        </w:rPr>
        <w:t xml:space="preserve"> sprawozdanie </w:t>
      </w:r>
      <w:r w:rsidR="004734ED">
        <w:rPr>
          <w:rFonts w:ascii="Times New Roman" w:hAnsi="Times New Roman" w:cs="Times New Roman"/>
          <w:sz w:val="24"/>
          <w:szCs w:val="24"/>
        </w:rPr>
        <w:t xml:space="preserve">z własnej inicjatywy </w:t>
      </w:r>
      <w:r w:rsidR="00383FE2" w:rsidRPr="009432FC">
        <w:rPr>
          <w:rFonts w:ascii="Times New Roman" w:hAnsi="Times New Roman" w:cs="Times New Roman"/>
          <w:sz w:val="24"/>
          <w:szCs w:val="24"/>
        </w:rPr>
        <w:t xml:space="preserve">brytyjskiego posła Chrisa Daviesa </w:t>
      </w:r>
      <w:r w:rsidR="004734ED">
        <w:rPr>
          <w:rFonts w:ascii="Times New Roman" w:hAnsi="Times New Roman" w:cs="Times New Roman"/>
          <w:sz w:val="24"/>
          <w:szCs w:val="24"/>
        </w:rPr>
        <w:t>(</w:t>
      </w:r>
      <w:r w:rsidR="004734ED" w:rsidRPr="004734ED">
        <w:rPr>
          <w:rFonts w:ascii="Times New Roman" w:hAnsi="Times New Roman" w:cs="Times New Roman"/>
          <w:sz w:val="24"/>
          <w:szCs w:val="24"/>
        </w:rPr>
        <w:t>Grupa Porozumienia Liberałów i Demokratów na rzecz Europy</w:t>
      </w:r>
      <w:r w:rsidR="004734ED">
        <w:rPr>
          <w:rFonts w:ascii="Times New Roman" w:hAnsi="Times New Roman" w:cs="Times New Roman"/>
          <w:sz w:val="24"/>
          <w:szCs w:val="24"/>
        </w:rPr>
        <w:t xml:space="preserve"> – ALDE)</w:t>
      </w:r>
      <w:r w:rsidR="00383FE2" w:rsidRPr="009432FC">
        <w:rPr>
          <w:rFonts w:ascii="Times New Roman" w:hAnsi="Times New Roman" w:cs="Times New Roman"/>
          <w:sz w:val="24"/>
          <w:szCs w:val="24"/>
        </w:rPr>
        <w:t>, w którym proponowano, aby – podążając za użytecznym przykładem produktów tytoniowych – przeznaczyć 20% powierzchni reklam samochodów na informacje dot. spalania i emisji CO</w:t>
      </w:r>
      <w:r w:rsidR="00383FE2" w:rsidRPr="004734ED">
        <w:rPr>
          <w:rFonts w:ascii="Times New Roman" w:hAnsi="Times New Roman" w:cs="Times New Roman"/>
          <w:sz w:val="24"/>
          <w:szCs w:val="24"/>
          <w:vertAlign w:val="subscript"/>
        </w:rPr>
        <w:t>2</w:t>
      </w:r>
      <w:r w:rsidR="00383FE2" w:rsidRPr="009432FC">
        <w:rPr>
          <w:rFonts w:ascii="Times New Roman" w:hAnsi="Times New Roman" w:cs="Times New Roman"/>
          <w:sz w:val="24"/>
          <w:szCs w:val="24"/>
        </w:rPr>
        <w:t xml:space="preserve"> oraz na ostrzeżenia dotyczące ich</w:t>
      </w:r>
      <w:r w:rsidR="004734ED">
        <w:rPr>
          <w:rFonts w:ascii="Times New Roman" w:hAnsi="Times New Roman" w:cs="Times New Roman"/>
          <w:sz w:val="24"/>
          <w:szCs w:val="24"/>
        </w:rPr>
        <w:t xml:space="preserve"> szkodliwego wpływu na zdrowie.</w:t>
      </w:r>
    </w:p>
    <w:p w:rsidR="001C04AD" w:rsidRPr="001C04AD" w:rsidRDefault="001C04AD" w:rsidP="002239DE">
      <w:pPr>
        <w:spacing w:after="120" w:line="360" w:lineRule="auto"/>
        <w:ind w:firstLine="567"/>
        <w:jc w:val="both"/>
        <w:rPr>
          <w:rFonts w:ascii="Times New Roman" w:hAnsi="Times New Roman" w:cs="Times New Roman"/>
          <w:sz w:val="24"/>
          <w:szCs w:val="24"/>
        </w:rPr>
      </w:pPr>
      <w:r w:rsidRPr="00E40EA0">
        <w:rPr>
          <w:rFonts w:ascii="Times New Roman" w:hAnsi="Times New Roman" w:cs="Times New Roman"/>
          <w:sz w:val="24"/>
          <w:szCs w:val="24"/>
        </w:rPr>
        <w:t>Dzi</w:t>
      </w:r>
      <w:r>
        <w:rPr>
          <w:rFonts w:ascii="Times New Roman" w:hAnsi="Times New Roman" w:cs="Times New Roman"/>
          <w:sz w:val="24"/>
          <w:szCs w:val="24"/>
        </w:rPr>
        <w:t>ałania podjęte przez wydawców europejskich doprowadziły do zmiany stanowiska</w:t>
      </w:r>
      <w:r w:rsidRPr="00E40EA0">
        <w:rPr>
          <w:rFonts w:ascii="Times New Roman" w:hAnsi="Times New Roman" w:cs="Times New Roman"/>
          <w:sz w:val="24"/>
          <w:szCs w:val="24"/>
        </w:rPr>
        <w:t xml:space="preserve"> PE i Komisji. </w:t>
      </w:r>
      <w:r w:rsidR="002239DE">
        <w:rPr>
          <w:rFonts w:ascii="Times New Roman" w:hAnsi="Times New Roman" w:cs="Times New Roman"/>
          <w:sz w:val="24"/>
          <w:szCs w:val="24"/>
        </w:rPr>
        <w:t>8</w:t>
      </w:r>
      <w:r>
        <w:rPr>
          <w:rFonts w:ascii="Times New Roman" w:hAnsi="Times New Roman" w:cs="Times New Roman"/>
          <w:sz w:val="24"/>
          <w:szCs w:val="24"/>
        </w:rPr>
        <w:t>. Października zeszłego roku, podczas spotkania z przedstawicielami FAEP i ENPA, Komisarz Dimas zapewnił, że prace nad rewizją dyrektywy zostaną przesunięte w czasie.</w:t>
      </w:r>
      <w:r w:rsidR="002239DE">
        <w:rPr>
          <w:rFonts w:ascii="Times New Roman" w:hAnsi="Times New Roman" w:cs="Times New Roman"/>
          <w:sz w:val="24"/>
          <w:szCs w:val="24"/>
        </w:rPr>
        <w:t xml:space="preserve"> Jednak n</w:t>
      </w:r>
      <w:r>
        <w:rPr>
          <w:rFonts w:ascii="Times New Roman" w:hAnsi="Times New Roman" w:cs="Times New Roman"/>
          <w:sz w:val="24"/>
          <w:szCs w:val="24"/>
        </w:rPr>
        <w:t>a początku marca</w:t>
      </w:r>
      <w:r w:rsidR="002239DE">
        <w:rPr>
          <w:rFonts w:ascii="Times New Roman" w:hAnsi="Times New Roman" w:cs="Times New Roman"/>
          <w:sz w:val="24"/>
          <w:szCs w:val="24"/>
        </w:rPr>
        <w:t xml:space="preserve"> </w:t>
      </w:r>
      <w:r>
        <w:rPr>
          <w:rFonts w:ascii="Times New Roman" w:hAnsi="Times New Roman" w:cs="Times New Roman"/>
          <w:sz w:val="24"/>
          <w:szCs w:val="24"/>
        </w:rPr>
        <w:t xml:space="preserve">b.r. </w:t>
      </w:r>
      <w:r w:rsidRPr="00E40EA0">
        <w:rPr>
          <w:rFonts w:ascii="Times New Roman" w:hAnsi="Times New Roman" w:cs="Times New Roman"/>
          <w:sz w:val="24"/>
          <w:szCs w:val="24"/>
        </w:rPr>
        <w:t xml:space="preserve">nowy Dyrektor DG ds. Środowiska – Karl Falkenberg – </w:t>
      </w:r>
      <w:r>
        <w:rPr>
          <w:rFonts w:ascii="Times New Roman" w:hAnsi="Times New Roman" w:cs="Times New Roman"/>
          <w:sz w:val="24"/>
          <w:szCs w:val="24"/>
        </w:rPr>
        <w:t>po</w:t>
      </w:r>
      <w:r w:rsidRPr="00E40EA0">
        <w:rPr>
          <w:rFonts w:ascii="Times New Roman" w:hAnsi="Times New Roman" w:cs="Times New Roman"/>
          <w:sz w:val="24"/>
          <w:szCs w:val="24"/>
        </w:rPr>
        <w:t>informował europejskich przedstawicieli Izby</w:t>
      </w:r>
      <w:r>
        <w:rPr>
          <w:rFonts w:ascii="Times New Roman" w:hAnsi="Times New Roman" w:cs="Times New Roman"/>
          <w:sz w:val="24"/>
          <w:szCs w:val="24"/>
        </w:rPr>
        <w:t xml:space="preserve"> Wydawców Prasy</w:t>
      </w:r>
      <w:r w:rsidRPr="00E40EA0">
        <w:rPr>
          <w:rFonts w:ascii="Times New Roman" w:hAnsi="Times New Roman" w:cs="Times New Roman"/>
          <w:sz w:val="24"/>
          <w:szCs w:val="24"/>
        </w:rPr>
        <w:t xml:space="preserve">, że prace </w:t>
      </w:r>
      <w:r>
        <w:rPr>
          <w:rFonts w:ascii="Times New Roman" w:hAnsi="Times New Roman" w:cs="Times New Roman"/>
          <w:sz w:val="24"/>
          <w:szCs w:val="24"/>
        </w:rPr>
        <w:t xml:space="preserve">nad nowelizacją dyrektywy </w:t>
      </w:r>
      <w:r w:rsidRPr="00E40EA0">
        <w:rPr>
          <w:rFonts w:ascii="Times New Roman" w:hAnsi="Times New Roman" w:cs="Times New Roman"/>
          <w:sz w:val="24"/>
          <w:szCs w:val="24"/>
        </w:rPr>
        <w:t>trwają obecnie i sprawa ta wróci do porządku obrad</w:t>
      </w:r>
      <w:r>
        <w:rPr>
          <w:rFonts w:ascii="Times New Roman" w:hAnsi="Times New Roman" w:cs="Times New Roman"/>
          <w:sz w:val="24"/>
          <w:szCs w:val="24"/>
        </w:rPr>
        <w:t xml:space="preserve"> Parlamentu Europejskiego</w:t>
      </w:r>
      <w:r w:rsidRPr="00E40EA0">
        <w:rPr>
          <w:rFonts w:ascii="Times New Roman" w:hAnsi="Times New Roman" w:cs="Times New Roman"/>
          <w:sz w:val="24"/>
          <w:szCs w:val="24"/>
        </w:rPr>
        <w:t>, gdy tylko pojawi się nowy komisarz (czyli pod k</w:t>
      </w:r>
      <w:r>
        <w:rPr>
          <w:rFonts w:ascii="Times New Roman" w:hAnsi="Times New Roman" w:cs="Times New Roman"/>
          <w:sz w:val="24"/>
          <w:szCs w:val="24"/>
        </w:rPr>
        <w:t>oniec 2009 r.). Zdaniem Dyrektora,</w:t>
      </w:r>
      <w:r w:rsidRPr="00E40EA0">
        <w:rPr>
          <w:rFonts w:ascii="Times New Roman" w:hAnsi="Times New Roman" w:cs="Times New Roman"/>
          <w:sz w:val="24"/>
          <w:szCs w:val="24"/>
        </w:rPr>
        <w:t xml:space="preserve"> należy wprowadzić obowiązek zamieszczania informacji o spalaniu CO</w:t>
      </w:r>
      <w:r w:rsidRPr="001C04AD">
        <w:rPr>
          <w:rFonts w:ascii="Times New Roman" w:hAnsi="Times New Roman" w:cs="Times New Roman"/>
          <w:sz w:val="24"/>
          <w:szCs w:val="24"/>
          <w:vertAlign w:val="subscript"/>
        </w:rPr>
        <w:t>2</w:t>
      </w:r>
      <w:r w:rsidRPr="00E40EA0">
        <w:rPr>
          <w:rFonts w:ascii="Times New Roman" w:hAnsi="Times New Roman" w:cs="Times New Roman"/>
          <w:sz w:val="24"/>
          <w:szCs w:val="24"/>
        </w:rPr>
        <w:t xml:space="preserve"> w reklamie (w formie kolorowego logo lub tekstu).</w:t>
      </w:r>
    </w:p>
    <w:p w:rsidR="004734ED" w:rsidRDefault="002239DE" w:rsidP="002517B8">
      <w:pPr>
        <w:spacing w:after="120" w:line="360" w:lineRule="auto"/>
        <w:jc w:val="both"/>
        <w:rPr>
          <w:rFonts w:ascii="Times New Roman" w:hAnsi="Times New Roman" w:cs="Times New Roman"/>
          <w:b/>
          <w:sz w:val="24"/>
          <w:szCs w:val="24"/>
        </w:rPr>
      </w:pPr>
      <w:r w:rsidRPr="002517B8">
        <w:rPr>
          <w:rFonts w:ascii="Times New Roman" w:hAnsi="Times New Roman" w:cs="Times New Roman"/>
          <w:b/>
          <w:sz w:val="24"/>
          <w:szCs w:val="24"/>
        </w:rPr>
        <w:lastRenderedPageBreak/>
        <w:t>Stanowisko</w:t>
      </w:r>
      <w:r w:rsidR="002517B8">
        <w:rPr>
          <w:rFonts w:ascii="Times New Roman" w:hAnsi="Times New Roman" w:cs="Times New Roman"/>
          <w:b/>
          <w:sz w:val="24"/>
          <w:szCs w:val="24"/>
        </w:rPr>
        <w:t>:</w:t>
      </w:r>
    </w:p>
    <w:p w:rsidR="002517B8" w:rsidRPr="002517B8" w:rsidRDefault="002517B8" w:rsidP="002517B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Naszym zdaniem nie należy wprowadzać dodatkowych wymogów dot. reklamy samochodów, ponieważ:</w:t>
      </w:r>
    </w:p>
    <w:p w:rsidR="002517B8" w:rsidRDefault="002517B8" w:rsidP="003B3F54">
      <w:pPr>
        <w:pStyle w:val="Akapitzlist"/>
        <w:numPr>
          <w:ilvl w:val="1"/>
          <w:numId w:val="18"/>
        </w:numPr>
        <w:spacing w:after="120" w:line="360" w:lineRule="auto"/>
        <w:ind w:left="851" w:hanging="284"/>
        <w:jc w:val="both"/>
        <w:rPr>
          <w:rFonts w:ascii="Times New Roman" w:hAnsi="Times New Roman" w:cs="Times New Roman"/>
          <w:sz w:val="24"/>
          <w:szCs w:val="24"/>
        </w:rPr>
      </w:pPr>
      <w:r w:rsidRPr="002517B8">
        <w:rPr>
          <w:rFonts w:ascii="Times New Roman" w:hAnsi="Times New Roman" w:cs="Times New Roman"/>
          <w:sz w:val="24"/>
          <w:szCs w:val="24"/>
        </w:rPr>
        <w:t>dochody z reklam samochodów osobowych stanowią jedno z najważniejszych źródeł finansowania wolnej prasy europejskiej. Dla przykładu – dla polskiej edycji National Geographic, którego misją jest informowanie o zmianach klimatycznych i promowanie działań związanych z ochroną środowiska, stanowią one 30% wszystkich przychodów reklamowych;</w:t>
      </w:r>
    </w:p>
    <w:p w:rsidR="002517B8" w:rsidRDefault="002517B8" w:rsidP="003B3F54">
      <w:pPr>
        <w:pStyle w:val="Akapitzlist"/>
        <w:numPr>
          <w:ilvl w:val="1"/>
          <w:numId w:val="18"/>
        </w:numPr>
        <w:spacing w:after="120" w:line="360" w:lineRule="auto"/>
        <w:ind w:left="851" w:hanging="284"/>
        <w:jc w:val="both"/>
        <w:rPr>
          <w:rFonts w:ascii="Times New Roman" w:hAnsi="Times New Roman" w:cs="Times New Roman"/>
          <w:sz w:val="24"/>
          <w:szCs w:val="24"/>
        </w:rPr>
      </w:pPr>
      <w:r w:rsidRPr="002517B8">
        <w:rPr>
          <w:rFonts w:ascii="Times New Roman" w:hAnsi="Times New Roman" w:cs="Times New Roman"/>
          <w:sz w:val="24"/>
          <w:szCs w:val="24"/>
        </w:rPr>
        <w:t>prasa to najważniejsze narzędzie, jeśli chodzi o poszerzanie zmian w zakresie myślenia i postaw l</w:t>
      </w:r>
      <w:r w:rsidR="003B3F54">
        <w:rPr>
          <w:rFonts w:ascii="Times New Roman" w:hAnsi="Times New Roman" w:cs="Times New Roman"/>
          <w:sz w:val="24"/>
          <w:szCs w:val="24"/>
        </w:rPr>
        <w:t>udzi wobec zmian klimatycznych;</w:t>
      </w:r>
    </w:p>
    <w:p w:rsidR="002517B8" w:rsidRDefault="003B3F54" w:rsidP="003B3F54">
      <w:pPr>
        <w:pStyle w:val="Akapitzlist"/>
        <w:numPr>
          <w:ilvl w:val="1"/>
          <w:numId w:val="18"/>
        </w:numPr>
        <w:spacing w:after="12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w:t>
      </w:r>
      <w:r w:rsidR="002517B8" w:rsidRPr="002517B8">
        <w:rPr>
          <w:rFonts w:ascii="Times New Roman" w:hAnsi="Times New Roman" w:cs="Times New Roman"/>
          <w:sz w:val="24"/>
          <w:szCs w:val="24"/>
        </w:rPr>
        <w:t xml:space="preserve">eklamy nie mogą zostać podporządkowane przekazom rządowym, nawet wtedy, gdy stoją za tym dobre intencje. </w:t>
      </w:r>
    </w:p>
    <w:p w:rsidR="002517B8" w:rsidRDefault="003B3F54" w:rsidP="003B3F54">
      <w:pPr>
        <w:pStyle w:val="Akapitzlist"/>
        <w:numPr>
          <w:ilvl w:val="1"/>
          <w:numId w:val="18"/>
        </w:numPr>
        <w:spacing w:after="12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c</w:t>
      </w:r>
      <w:r w:rsidR="002517B8" w:rsidRPr="002517B8">
        <w:rPr>
          <w:rFonts w:ascii="Times New Roman" w:hAnsi="Times New Roman" w:cs="Times New Roman"/>
          <w:sz w:val="24"/>
          <w:szCs w:val="24"/>
        </w:rPr>
        <w:t>elem obowiązku informowania jest dostarczenie konsumentom, którzy zastanawiają się nad zakupem samochodu, odpowiednich informacji dotyczących wal</w:t>
      </w:r>
      <w:r>
        <w:rPr>
          <w:rFonts w:ascii="Times New Roman" w:hAnsi="Times New Roman" w:cs="Times New Roman"/>
          <w:sz w:val="24"/>
          <w:szCs w:val="24"/>
        </w:rPr>
        <w:t>orów ekologicznych aut (patrz: art. 1 Dyrektywy 1999/94/WE); j</w:t>
      </w:r>
      <w:r w:rsidR="002517B8" w:rsidRPr="002517B8">
        <w:rPr>
          <w:rFonts w:ascii="Times New Roman" w:hAnsi="Times New Roman" w:cs="Times New Roman"/>
          <w:sz w:val="24"/>
          <w:szCs w:val="24"/>
        </w:rPr>
        <w:t>ednak nikt, kto kupuje samochód, nie podejmuje decyzji o j</w:t>
      </w:r>
      <w:r>
        <w:rPr>
          <w:rFonts w:ascii="Times New Roman" w:hAnsi="Times New Roman" w:cs="Times New Roman"/>
          <w:sz w:val="24"/>
          <w:szCs w:val="24"/>
        </w:rPr>
        <w:t>ego zakupie na podstawie reklam;</w:t>
      </w:r>
      <w:r w:rsidR="002517B8" w:rsidRPr="002517B8">
        <w:rPr>
          <w:rFonts w:ascii="Times New Roman" w:hAnsi="Times New Roman" w:cs="Times New Roman"/>
          <w:sz w:val="24"/>
          <w:szCs w:val="24"/>
        </w:rPr>
        <w:t xml:space="preserve"> </w:t>
      </w:r>
    </w:p>
    <w:p w:rsidR="00383FE2" w:rsidRPr="002517B8" w:rsidRDefault="002517B8" w:rsidP="003B3F54">
      <w:pPr>
        <w:pStyle w:val="Akapitzlist"/>
        <w:numPr>
          <w:ilvl w:val="1"/>
          <w:numId w:val="18"/>
        </w:numPr>
        <w:spacing w:after="120" w:line="360" w:lineRule="auto"/>
        <w:ind w:left="851" w:hanging="284"/>
        <w:jc w:val="both"/>
        <w:rPr>
          <w:rFonts w:ascii="Times New Roman" w:hAnsi="Times New Roman" w:cs="Times New Roman"/>
          <w:sz w:val="24"/>
          <w:szCs w:val="24"/>
        </w:rPr>
      </w:pPr>
      <w:r w:rsidRPr="002517B8">
        <w:rPr>
          <w:rFonts w:ascii="Times New Roman" w:hAnsi="Times New Roman" w:cs="Times New Roman"/>
          <w:sz w:val="24"/>
          <w:szCs w:val="24"/>
        </w:rPr>
        <w:t xml:space="preserve">restrykcje dotyczące reklam w postaci narzuconych przez rząd zobowiązań odnośnie do treści reklam nie </w:t>
      </w:r>
      <w:r w:rsidR="003B3F54">
        <w:rPr>
          <w:rFonts w:ascii="Times New Roman" w:hAnsi="Times New Roman" w:cs="Times New Roman"/>
          <w:sz w:val="24"/>
          <w:szCs w:val="24"/>
        </w:rPr>
        <w:t>powinny dotyczyć żadnego medium;</w:t>
      </w:r>
      <w:r w:rsidRPr="002517B8">
        <w:rPr>
          <w:rFonts w:ascii="Times New Roman" w:hAnsi="Times New Roman" w:cs="Times New Roman"/>
          <w:sz w:val="24"/>
          <w:szCs w:val="24"/>
        </w:rPr>
        <w:t xml:space="preserve"> </w:t>
      </w:r>
      <w:r w:rsidR="003B3F54">
        <w:rPr>
          <w:rFonts w:ascii="Times New Roman" w:hAnsi="Times New Roman" w:cs="Times New Roman"/>
          <w:sz w:val="24"/>
          <w:szCs w:val="24"/>
        </w:rPr>
        <w:t>d</w:t>
      </w:r>
      <w:r w:rsidR="00383FE2" w:rsidRPr="002517B8">
        <w:rPr>
          <w:rFonts w:ascii="Times New Roman" w:hAnsi="Times New Roman" w:cs="Times New Roman"/>
          <w:sz w:val="24"/>
          <w:szCs w:val="24"/>
        </w:rPr>
        <w:t>odatkowo nieracjonalne</w:t>
      </w:r>
      <w:r w:rsidRPr="002517B8">
        <w:rPr>
          <w:rFonts w:ascii="Times New Roman" w:hAnsi="Times New Roman" w:cs="Times New Roman"/>
          <w:sz w:val="24"/>
          <w:szCs w:val="24"/>
        </w:rPr>
        <w:t xml:space="preserve"> </w:t>
      </w:r>
      <w:r w:rsidR="00383FE2" w:rsidRPr="002517B8">
        <w:rPr>
          <w:rFonts w:ascii="Times New Roman" w:hAnsi="Times New Roman" w:cs="Times New Roman"/>
          <w:sz w:val="24"/>
          <w:szCs w:val="24"/>
        </w:rPr>
        <w:t>byłoby</w:t>
      </w:r>
      <w:r w:rsidR="003B3F54">
        <w:rPr>
          <w:rFonts w:ascii="Times New Roman" w:hAnsi="Times New Roman" w:cs="Times New Roman"/>
          <w:sz w:val="24"/>
          <w:szCs w:val="24"/>
        </w:rPr>
        <w:t xml:space="preserve"> –</w:t>
      </w:r>
      <w:r w:rsidR="00383FE2" w:rsidRPr="002517B8">
        <w:rPr>
          <w:rFonts w:ascii="Times New Roman" w:hAnsi="Times New Roman" w:cs="Times New Roman"/>
          <w:sz w:val="24"/>
          <w:szCs w:val="24"/>
        </w:rPr>
        <w:t xml:space="preserve"> i to zarówno z punktu widzenia</w:t>
      </w:r>
      <w:r w:rsidRPr="002517B8">
        <w:rPr>
          <w:rFonts w:ascii="Times New Roman" w:hAnsi="Times New Roman" w:cs="Times New Roman"/>
          <w:sz w:val="24"/>
          <w:szCs w:val="24"/>
        </w:rPr>
        <w:t xml:space="preserve"> </w:t>
      </w:r>
      <w:r w:rsidR="00383FE2" w:rsidRPr="002517B8">
        <w:rPr>
          <w:rFonts w:ascii="Times New Roman" w:hAnsi="Times New Roman" w:cs="Times New Roman"/>
          <w:sz w:val="24"/>
          <w:szCs w:val="24"/>
        </w:rPr>
        <w:t>mediów, j</w:t>
      </w:r>
      <w:r w:rsidR="003B3F54">
        <w:rPr>
          <w:rFonts w:ascii="Times New Roman" w:hAnsi="Times New Roman" w:cs="Times New Roman"/>
          <w:sz w:val="24"/>
          <w:szCs w:val="24"/>
        </w:rPr>
        <w:t xml:space="preserve">ak i norm dot. konkurencyjności – nałożenie obowiązku </w:t>
      </w:r>
      <w:r w:rsidR="00383FE2" w:rsidRPr="002517B8">
        <w:rPr>
          <w:rFonts w:ascii="Times New Roman" w:hAnsi="Times New Roman" w:cs="Times New Roman"/>
          <w:sz w:val="24"/>
          <w:szCs w:val="24"/>
        </w:rPr>
        <w:t>informowania</w:t>
      </w:r>
      <w:r w:rsidRPr="002517B8">
        <w:rPr>
          <w:rFonts w:ascii="Times New Roman" w:hAnsi="Times New Roman" w:cs="Times New Roman"/>
          <w:sz w:val="24"/>
          <w:szCs w:val="24"/>
        </w:rPr>
        <w:t xml:space="preserve"> </w:t>
      </w:r>
      <w:r w:rsidR="00383FE2" w:rsidRPr="002517B8">
        <w:rPr>
          <w:rFonts w:ascii="Times New Roman" w:hAnsi="Times New Roman" w:cs="Times New Roman"/>
          <w:sz w:val="24"/>
          <w:szCs w:val="24"/>
        </w:rPr>
        <w:t xml:space="preserve">tylko </w:t>
      </w:r>
      <w:r w:rsidR="003B3F54">
        <w:rPr>
          <w:rFonts w:ascii="Times New Roman" w:hAnsi="Times New Roman" w:cs="Times New Roman"/>
          <w:sz w:val="24"/>
          <w:szCs w:val="24"/>
        </w:rPr>
        <w:t>na prasę</w:t>
      </w:r>
      <w:r w:rsidRPr="002517B8">
        <w:rPr>
          <w:rFonts w:ascii="Times New Roman" w:hAnsi="Times New Roman" w:cs="Times New Roman"/>
          <w:sz w:val="24"/>
          <w:szCs w:val="24"/>
        </w:rPr>
        <w:t xml:space="preserve"> (a takie propozycje pojawiały się)</w:t>
      </w:r>
      <w:r w:rsidR="00383FE2" w:rsidRPr="002517B8">
        <w:rPr>
          <w:rFonts w:ascii="Times New Roman" w:hAnsi="Times New Roman" w:cs="Times New Roman"/>
          <w:sz w:val="24"/>
          <w:szCs w:val="24"/>
        </w:rPr>
        <w:t>.</w:t>
      </w:r>
    </w:p>
    <w:p w:rsidR="00E40EA0" w:rsidRDefault="00E40EA0" w:rsidP="009F79D7">
      <w:pPr>
        <w:spacing w:after="120" w:line="360" w:lineRule="auto"/>
        <w:ind w:firstLine="567"/>
        <w:jc w:val="both"/>
        <w:rPr>
          <w:rFonts w:ascii="Times New Roman" w:hAnsi="Times New Roman" w:cs="Times New Roman"/>
          <w:sz w:val="24"/>
          <w:szCs w:val="24"/>
        </w:rPr>
      </w:pPr>
    </w:p>
    <w:p w:rsidR="00F7649C" w:rsidRPr="00362616" w:rsidRDefault="00F7649C" w:rsidP="00465857">
      <w:pPr>
        <w:pStyle w:val="Akapitzlist"/>
        <w:numPr>
          <w:ilvl w:val="0"/>
          <w:numId w:val="5"/>
        </w:numPr>
        <w:spacing w:after="120" w:line="360" w:lineRule="auto"/>
        <w:jc w:val="both"/>
        <w:rPr>
          <w:rFonts w:ascii="Times New Roman" w:eastAsia="Calibri" w:hAnsi="Times New Roman" w:cs="Times New Roman"/>
          <w:b/>
          <w:color w:val="000000"/>
          <w:sz w:val="24"/>
          <w:szCs w:val="24"/>
        </w:rPr>
      </w:pPr>
      <w:r>
        <w:rPr>
          <w:rFonts w:ascii="Times New Roman" w:hAnsi="Times New Roman" w:cs="Times New Roman"/>
          <w:b/>
          <w:color w:val="000000"/>
          <w:sz w:val="24"/>
          <w:szCs w:val="24"/>
        </w:rPr>
        <w:t>PATIENT INFORMATION</w:t>
      </w:r>
    </w:p>
    <w:p w:rsidR="00362616" w:rsidRPr="00362616" w:rsidRDefault="00362616" w:rsidP="005A2B8F">
      <w:pPr>
        <w:spacing w:after="120" w:line="360" w:lineRule="auto"/>
        <w:ind w:firstLine="567"/>
        <w:jc w:val="both"/>
        <w:rPr>
          <w:rFonts w:ascii="Times New Roman" w:hAnsi="Times New Roman" w:cs="Times New Roman"/>
          <w:sz w:val="24"/>
          <w:szCs w:val="24"/>
        </w:rPr>
      </w:pPr>
      <w:r w:rsidRPr="00362616">
        <w:rPr>
          <w:rFonts w:ascii="Times New Roman" w:hAnsi="Times New Roman" w:cs="Times New Roman"/>
          <w:sz w:val="24"/>
          <w:szCs w:val="24"/>
        </w:rPr>
        <w:t>Prawo UE zakazuje reklamowania lekarstw dostępnych tylko na receptę. W dobie prawie nieograniczonego dostępu do informacji, przykład USA (dopuszczający reklamowanie pod pewnymi warunkami) pokazuje, iż liberalizacja rynku reklamowego mogłaby być korzystna dla pacjentów, firm farmaceutycznych oraz mediów.</w:t>
      </w:r>
    </w:p>
    <w:p w:rsidR="00362616" w:rsidRPr="00362616" w:rsidRDefault="00362616" w:rsidP="005A2B8F">
      <w:pPr>
        <w:autoSpaceDE w:val="0"/>
        <w:autoSpaceDN w:val="0"/>
        <w:adjustRightInd w:val="0"/>
        <w:spacing w:after="120" w:line="360" w:lineRule="auto"/>
        <w:ind w:firstLine="567"/>
        <w:jc w:val="both"/>
        <w:rPr>
          <w:rFonts w:ascii="Times New Roman" w:hAnsi="Times New Roman" w:cs="Times New Roman"/>
          <w:sz w:val="24"/>
          <w:szCs w:val="24"/>
        </w:rPr>
      </w:pPr>
      <w:r w:rsidRPr="00362616">
        <w:rPr>
          <w:rFonts w:ascii="Times New Roman" w:hAnsi="Times New Roman" w:cs="Times New Roman"/>
          <w:sz w:val="24"/>
          <w:szCs w:val="24"/>
        </w:rPr>
        <w:t xml:space="preserve">10. grudnia </w:t>
      </w:r>
      <w:r w:rsidR="00431393">
        <w:rPr>
          <w:rFonts w:ascii="Times New Roman" w:hAnsi="Times New Roman" w:cs="Times New Roman"/>
          <w:sz w:val="24"/>
          <w:szCs w:val="24"/>
        </w:rPr>
        <w:t xml:space="preserve">zeszłego roku </w:t>
      </w:r>
      <w:r w:rsidRPr="00362616">
        <w:rPr>
          <w:rFonts w:ascii="Times New Roman" w:hAnsi="Times New Roman" w:cs="Times New Roman"/>
          <w:sz w:val="24"/>
          <w:szCs w:val="24"/>
        </w:rPr>
        <w:t>Komisja Europejska przyjęła propozycję zmiany dyrektywy dotyczącej informacji dla pacjentów</w:t>
      </w:r>
      <w:r>
        <w:rPr>
          <w:rStyle w:val="Odwoanieprzypisudolnego"/>
          <w:rFonts w:ascii="Times New Roman" w:hAnsi="Times New Roman" w:cs="Times New Roman"/>
          <w:sz w:val="24"/>
          <w:szCs w:val="24"/>
        </w:rPr>
        <w:footnoteReference w:id="23"/>
      </w:r>
      <w:r w:rsidRPr="00362616">
        <w:rPr>
          <w:rFonts w:ascii="Times New Roman" w:hAnsi="Times New Roman" w:cs="Times New Roman"/>
          <w:sz w:val="24"/>
          <w:szCs w:val="24"/>
        </w:rPr>
        <w:t xml:space="preserve">. W ciągu następnych miesięcy propozycja ta będzie </w:t>
      </w:r>
      <w:r w:rsidRPr="00362616">
        <w:rPr>
          <w:rFonts w:ascii="Times New Roman" w:hAnsi="Times New Roman" w:cs="Times New Roman"/>
          <w:sz w:val="24"/>
          <w:szCs w:val="24"/>
        </w:rPr>
        <w:lastRenderedPageBreak/>
        <w:t>przedmiotem dyskusji Parlamentu i Rady, a następnie (po ostatecznym przyjęciu), zostanie przekazana do implementacji przez Kraje Członkowskie.</w:t>
      </w:r>
    </w:p>
    <w:p w:rsidR="00362616" w:rsidRPr="00431393" w:rsidRDefault="00362616" w:rsidP="005A2B8F">
      <w:pPr>
        <w:autoSpaceDE w:val="0"/>
        <w:autoSpaceDN w:val="0"/>
        <w:adjustRightInd w:val="0"/>
        <w:spacing w:after="120" w:line="360" w:lineRule="auto"/>
        <w:ind w:firstLine="567"/>
        <w:jc w:val="both"/>
        <w:rPr>
          <w:rFonts w:ascii="Times New Roman" w:hAnsi="Times New Roman" w:cs="Times New Roman"/>
          <w:sz w:val="24"/>
          <w:szCs w:val="24"/>
        </w:rPr>
      </w:pPr>
      <w:r w:rsidRPr="00362616">
        <w:rPr>
          <w:rFonts w:ascii="Times New Roman" w:hAnsi="Times New Roman" w:cs="Times New Roman"/>
          <w:sz w:val="24"/>
          <w:szCs w:val="24"/>
        </w:rPr>
        <w:t xml:space="preserve">Obecnie obowiązująca dyrektywa </w:t>
      </w:r>
      <w:r w:rsidR="00431393">
        <w:rPr>
          <w:rFonts w:ascii="Times New Roman" w:hAnsi="Times New Roman" w:cs="Times New Roman"/>
          <w:sz w:val="24"/>
          <w:szCs w:val="24"/>
        </w:rPr>
        <w:t xml:space="preserve">2001/83/WE </w:t>
      </w:r>
      <w:r w:rsidRPr="00362616">
        <w:rPr>
          <w:rFonts w:ascii="Times New Roman" w:hAnsi="Times New Roman" w:cs="Times New Roman"/>
          <w:sz w:val="24"/>
          <w:szCs w:val="24"/>
        </w:rPr>
        <w:t>zabrania reklamowania leków dostępnych tylko na receptę (art. 88 ust. 1 dyrektywy). Według obecnej propozycji (nowy art. 100c) reklamowanie takich leków będzie dalej zabronione, jednak dopuszczalne będzie rozpowszechnianie informacji</w:t>
      </w:r>
      <w:r w:rsidRPr="00431393">
        <w:rPr>
          <w:rFonts w:ascii="Times New Roman" w:hAnsi="Times New Roman" w:cs="Times New Roman"/>
          <w:sz w:val="24"/>
          <w:szCs w:val="24"/>
        </w:rPr>
        <w:t xml:space="preserve"> dot. tych leków poprzez trzy kanały, a mianowicie:</w:t>
      </w:r>
    </w:p>
    <w:p w:rsidR="00362616" w:rsidRPr="00431393" w:rsidRDefault="00362616" w:rsidP="005A2B8F">
      <w:pPr>
        <w:numPr>
          <w:ilvl w:val="0"/>
          <w:numId w:val="12"/>
        </w:numPr>
        <w:autoSpaceDE w:val="0"/>
        <w:autoSpaceDN w:val="0"/>
        <w:adjustRightInd w:val="0"/>
        <w:spacing w:after="0" w:line="360" w:lineRule="auto"/>
        <w:ind w:left="760" w:hanging="357"/>
        <w:jc w:val="both"/>
        <w:rPr>
          <w:rFonts w:ascii="Times New Roman" w:hAnsi="Times New Roman" w:cs="Times New Roman"/>
          <w:sz w:val="24"/>
          <w:szCs w:val="24"/>
        </w:rPr>
      </w:pPr>
      <w:r w:rsidRPr="00431393">
        <w:rPr>
          <w:rFonts w:ascii="Times New Roman" w:hAnsi="Times New Roman" w:cs="Times New Roman"/>
          <w:sz w:val="24"/>
          <w:szCs w:val="24"/>
        </w:rPr>
        <w:t xml:space="preserve"> poprzez internetowe strony poświęcone tym lekom, </w:t>
      </w:r>
    </w:p>
    <w:p w:rsidR="00362616" w:rsidRPr="00431393" w:rsidRDefault="00362616" w:rsidP="005A2B8F">
      <w:pPr>
        <w:numPr>
          <w:ilvl w:val="0"/>
          <w:numId w:val="12"/>
        </w:numPr>
        <w:autoSpaceDE w:val="0"/>
        <w:autoSpaceDN w:val="0"/>
        <w:adjustRightInd w:val="0"/>
        <w:spacing w:after="0" w:line="360" w:lineRule="auto"/>
        <w:ind w:left="760" w:hanging="357"/>
        <w:jc w:val="both"/>
        <w:rPr>
          <w:rFonts w:ascii="Times New Roman" w:hAnsi="Times New Roman" w:cs="Times New Roman"/>
          <w:sz w:val="24"/>
          <w:szCs w:val="24"/>
        </w:rPr>
      </w:pPr>
      <w:r w:rsidRPr="00431393">
        <w:rPr>
          <w:rFonts w:ascii="Times New Roman" w:hAnsi="Times New Roman" w:cs="Times New Roman"/>
          <w:sz w:val="24"/>
          <w:szCs w:val="24"/>
        </w:rPr>
        <w:t xml:space="preserve"> za pomocą tzw. „publikacji dot. zdrowia” (health related publications), </w:t>
      </w:r>
    </w:p>
    <w:p w:rsidR="00362616" w:rsidRPr="00431393" w:rsidRDefault="00362616" w:rsidP="005A2B8F">
      <w:pPr>
        <w:numPr>
          <w:ilvl w:val="0"/>
          <w:numId w:val="12"/>
        </w:numPr>
        <w:autoSpaceDE w:val="0"/>
        <w:autoSpaceDN w:val="0"/>
        <w:adjustRightInd w:val="0"/>
        <w:spacing w:after="120" w:line="360" w:lineRule="auto"/>
        <w:ind w:left="760" w:hanging="357"/>
        <w:jc w:val="both"/>
        <w:rPr>
          <w:rFonts w:ascii="Times New Roman" w:hAnsi="Times New Roman" w:cs="Times New Roman"/>
          <w:sz w:val="24"/>
          <w:szCs w:val="24"/>
        </w:rPr>
      </w:pPr>
      <w:r w:rsidRPr="00431393">
        <w:rPr>
          <w:rFonts w:ascii="Times New Roman" w:hAnsi="Times New Roman" w:cs="Times New Roman"/>
          <w:sz w:val="24"/>
          <w:szCs w:val="24"/>
        </w:rPr>
        <w:t xml:space="preserve"> w formie pisemnych odpowiedzi na prośby obywateli o tego typu informacje. </w:t>
      </w:r>
    </w:p>
    <w:p w:rsidR="00362616" w:rsidRPr="00431393" w:rsidRDefault="00362616" w:rsidP="005A2B8F">
      <w:pPr>
        <w:autoSpaceDE w:val="0"/>
        <w:autoSpaceDN w:val="0"/>
        <w:adjustRightInd w:val="0"/>
        <w:spacing w:after="120" w:line="360" w:lineRule="auto"/>
        <w:ind w:firstLine="567"/>
        <w:jc w:val="both"/>
        <w:rPr>
          <w:rFonts w:ascii="Times New Roman" w:hAnsi="Times New Roman" w:cs="Times New Roman"/>
          <w:sz w:val="24"/>
          <w:szCs w:val="24"/>
        </w:rPr>
      </w:pPr>
      <w:r w:rsidRPr="00431393">
        <w:rPr>
          <w:rFonts w:ascii="Times New Roman" w:hAnsi="Times New Roman" w:cs="Times New Roman"/>
          <w:sz w:val="24"/>
          <w:szCs w:val="24"/>
        </w:rPr>
        <w:t xml:space="preserve">Proponowany do wprowadzenia art. 100c w wyraźny sposób zabrania rozpowszechniania tych informacji przez telewizję i radio. </w:t>
      </w:r>
    </w:p>
    <w:p w:rsidR="006E383F" w:rsidRDefault="006E383F" w:rsidP="006E383F">
      <w:pPr>
        <w:spacing w:after="120" w:line="360" w:lineRule="auto"/>
        <w:jc w:val="both"/>
        <w:rPr>
          <w:rFonts w:ascii="Times New Roman" w:eastAsia="Calibri" w:hAnsi="Times New Roman" w:cs="Times New Roman"/>
          <w:b/>
          <w:color w:val="000000"/>
          <w:sz w:val="24"/>
          <w:szCs w:val="24"/>
        </w:rPr>
      </w:pPr>
    </w:p>
    <w:p w:rsidR="00362616" w:rsidRPr="006E383F" w:rsidRDefault="00431393" w:rsidP="006E383F">
      <w:pPr>
        <w:spacing w:after="120" w:line="360" w:lineRule="auto"/>
        <w:jc w:val="both"/>
        <w:rPr>
          <w:rFonts w:ascii="Times New Roman" w:eastAsia="Calibri" w:hAnsi="Times New Roman" w:cs="Times New Roman"/>
          <w:b/>
          <w:color w:val="000000"/>
          <w:sz w:val="24"/>
          <w:szCs w:val="24"/>
        </w:rPr>
      </w:pPr>
      <w:r w:rsidRPr="006E383F">
        <w:rPr>
          <w:rFonts w:ascii="Times New Roman" w:eastAsia="Calibri" w:hAnsi="Times New Roman" w:cs="Times New Roman"/>
          <w:b/>
          <w:color w:val="000000"/>
          <w:sz w:val="24"/>
          <w:szCs w:val="24"/>
        </w:rPr>
        <w:t>Stanowisko:</w:t>
      </w:r>
    </w:p>
    <w:p w:rsidR="00431393" w:rsidRPr="00431393" w:rsidRDefault="00431393" w:rsidP="00383FE2">
      <w:pPr>
        <w:autoSpaceDE w:val="0"/>
        <w:autoSpaceDN w:val="0"/>
        <w:adjustRightInd w:val="0"/>
        <w:jc w:val="both"/>
        <w:rPr>
          <w:rFonts w:ascii="Times New Roman" w:hAnsi="Times New Roman" w:cs="Times New Roman"/>
          <w:sz w:val="24"/>
          <w:szCs w:val="24"/>
        </w:rPr>
      </w:pPr>
      <w:r w:rsidRPr="00431393">
        <w:rPr>
          <w:rFonts w:ascii="Times New Roman" w:hAnsi="Times New Roman" w:cs="Times New Roman"/>
          <w:sz w:val="24"/>
          <w:szCs w:val="24"/>
        </w:rPr>
        <w:t>Naszym zdaniem, za przyjęciem propozycji KE przemawiają</w:t>
      </w:r>
      <w:r w:rsidR="00CC7B57">
        <w:rPr>
          <w:rFonts w:ascii="Times New Roman" w:hAnsi="Times New Roman" w:cs="Times New Roman"/>
          <w:sz w:val="24"/>
          <w:szCs w:val="24"/>
        </w:rPr>
        <w:t xml:space="preserve"> następujące argumenty:</w:t>
      </w:r>
    </w:p>
    <w:p w:rsidR="00431393" w:rsidRDefault="00CC7B57" w:rsidP="00871C0E">
      <w:pPr>
        <w:pStyle w:val="Akapitzlist"/>
        <w:numPr>
          <w:ilvl w:val="0"/>
          <w:numId w:val="27"/>
        </w:numPr>
        <w:autoSpaceDE w:val="0"/>
        <w:autoSpaceDN w:val="0"/>
        <w:adjustRightInd w:val="0"/>
        <w:spacing w:after="36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w:t>
      </w:r>
      <w:r w:rsidR="00383FE2" w:rsidRPr="00431393">
        <w:rPr>
          <w:rFonts w:ascii="Times New Roman" w:hAnsi="Times New Roman" w:cs="Times New Roman"/>
          <w:sz w:val="24"/>
          <w:szCs w:val="24"/>
        </w:rPr>
        <w:t>óżnego rodzaju badania i analizy pokazują, że pacjenci coraz aktywniej uczestniczą w kierowaniu swoim zdrowiem. Czynią to poprzez zbieranie dokładnych informacji o swoim stanie zdrowia, o chorobach i wszelkich możliwych sposobach ich leczenia. Prawo w Europie nie zezwala na dostarczanie pacjentom informacji o lekach dostępnych na receptę, przez co ogranicza rozpowszechnianie informacji o wysokiej jakości. Sytuacja ta, w przypadku świadomego obywatela Unii Europejskiej, który pragnie pozyskać jak najwięcej informacji i z pełną odpowiedzialnością podejmować</w:t>
      </w:r>
      <w:r>
        <w:rPr>
          <w:rFonts w:ascii="Times New Roman" w:hAnsi="Times New Roman" w:cs="Times New Roman"/>
          <w:sz w:val="24"/>
          <w:szCs w:val="24"/>
        </w:rPr>
        <w:t xml:space="preserve"> decyzje, jest niedopuszczalna;</w:t>
      </w:r>
    </w:p>
    <w:p w:rsidR="00871C0E" w:rsidRPr="00871C0E" w:rsidRDefault="00871C0E" w:rsidP="00871C0E">
      <w:pPr>
        <w:pStyle w:val="Akapitzlist"/>
        <w:autoSpaceDE w:val="0"/>
        <w:autoSpaceDN w:val="0"/>
        <w:adjustRightInd w:val="0"/>
        <w:spacing w:after="360" w:line="360" w:lineRule="auto"/>
        <w:ind w:left="714"/>
        <w:jc w:val="both"/>
        <w:rPr>
          <w:rFonts w:ascii="Times New Roman" w:hAnsi="Times New Roman" w:cs="Times New Roman"/>
          <w:sz w:val="16"/>
          <w:szCs w:val="16"/>
        </w:rPr>
      </w:pPr>
    </w:p>
    <w:p w:rsidR="00871C0E" w:rsidRDefault="00CC7B57" w:rsidP="00871C0E">
      <w:pPr>
        <w:pStyle w:val="Akapitzlist"/>
        <w:numPr>
          <w:ilvl w:val="0"/>
          <w:numId w:val="27"/>
        </w:numPr>
        <w:autoSpaceDE w:val="0"/>
        <w:autoSpaceDN w:val="0"/>
        <w:adjustRightInd w:val="0"/>
        <w:spacing w:before="240"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w:t>
      </w:r>
      <w:r w:rsidR="00383FE2" w:rsidRPr="00431393">
        <w:rPr>
          <w:rFonts w:ascii="Times New Roman" w:hAnsi="Times New Roman" w:cs="Times New Roman"/>
          <w:sz w:val="24"/>
          <w:szCs w:val="24"/>
        </w:rPr>
        <w:t xml:space="preserve"> ostatnich latach zaobserwowano znaczący wzrost ilości artykułów poświęconych zdrowiu publikowanych w czasopismach. Była to odpowiedź wydawców na rosnące zapotrzebowanie ze strony czytelników na tego typu informacje. Należy przy tym podkreślić fakt, iż czasopisma są jednym z najbardziej właściwych mediów do rozpowszechniania takich informacji, bowiem uważane są za źródła godne zaufania, co odgrywa szczególna rolę przy informowaniu o tematach np. wstydliwych, o których czytelnicy nie chcą rozmawiać ze swoimi przyjaciółmi czy członkami rodziny. Poza tym, czasopisma są łatwo dostępne dla wszystkich odbiorców i to bez względu na wiek, wykształcenie czy warunki ekonomiczne czytelników. Ponadto – </w:t>
      </w:r>
      <w:r w:rsidR="00383FE2" w:rsidRPr="00431393">
        <w:rPr>
          <w:rFonts w:ascii="Times New Roman" w:hAnsi="Times New Roman" w:cs="Times New Roman"/>
          <w:sz w:val="24"/>
          <w:szCs w:val="24"/>
        </w:rPr>
        <w:lastRenderedPageBreak/>
        <w:t>różnego rodzaju periodyki – dostarczają informacje w sposób zrozumiały i przejrzysty, wykorzystując przy tym o</w:t>
      </w:r>
      <w:r>
        <w:rPr>
          <w:rFonts w:ascii="Times New Roman" w:hAnsi="Times New Roman" w:cs="Times New Roman"/>
          <w:sz w:val="24"/>
          <w:szCs w:val="24"/>
        </w:rPr>
        <w:t>dpowiednie ilustracje i grafiki;</w:t>
      </w:r>
    </w:p>
    <w:p w:rsidR="00871C0E" w:rsidRPr="00871C0E" w:rsidRDefault="00871C0E" w:rsidP="00871C0E">
      <w:pPr>
        <w:pStyle w:val="Akapitzlist"/>
        <w:rPr>
          <w:rFonts w:ascii="Times New Roman" w:hAnsi="Times New Roman" w:cs="Times New Roman"/>
          <w:sz w:val="16"/>
          <w:szCs w:val="16"/>
        </w:rPr>
      </w:pPr>
    </w:p>
    <w:p w:rsidR="00871C0E" w:rsidRDefault="00CC7B57" w:rsidP="00871C0E">
      <w:pPr>
        <w:pStyle w:val="Akapitzlist"/>
        <w:numPr>
          <w:ilvl w:val="0"/>
          <w:numId w:val="27"/>
        </w:numPr>
        <w:autoSpaceDE w:val="0"/>
        <w:autoSpaceDN w:val="0"/>
        <w:adjustRightInd w:val="0"/>
        <w:spacing w:before="240"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w:t>
      </w:r>
      <w:r w:rsidR="00383FE2" w:rsidRPr="006E383F">
        <w:rPr>
          <w:rFonts w:ascii="Times New Roman" w:hAnsi="Times New Roman" w:cs="Times New Roman"/>
          <w:sz w:val="24"/>
          <w:szCs w:val="24"/>
        </w:rPr>
        <w:t xml:space="preserve"> momencie, kiedy potwierdzona, wysokiej jakości informacja jest już dostępna, to czasopisma nie powinny być wyłączone z jej rozpowszechniania. </w:t>
      </w:r>
      <w:r w:rsidR="006E383F">
        <w:rPr>
          <w:rFonts w:ascii="Times New Roman" w:hAnsi="Times New Roman" w:cs="Times New Roman"/>
          <w:sz w:val="24"/>
          <w:szCs w:val="24"/>
        </w:rPr>
        <w:t>Nie można ograniczać się do jej rozpowszechniania tylko w mediach elektronicznych, bowiem nie wszyscy pacjenci mają do nich dostęp.</w:t>
      </w:r>
      <w:r w:rsidR="00383FE2" w:rsidRPr="006E383F">
        <w:rPr>
          <w:rFonts w:ascii="Times New Roman" w:hAnsi="Times New Roman" w:cs="Times New Roman"/>
          <w:sz w:val="24"/>
          <w:szCs w:val="24"/>
        </w:rPr>
        <w:t xml:space="preserve"> do Internetu. Czasopisma są odpowiednim miejscem do publikowania wiadomości na temat zdrowia, ponieważ postrzegane są przez czytelników jako rzetelne źródła informacji. Poza tym, media drukowane nie należą do tzw. „push media” (czyli – w wolnym tłumaczeniu – do „mediów tłoczących informacje”), gdyż publikowane na ich łamach informacje różnią się zdecydowanie od tych, które pochodzą z innych mediów, „tłoczących” informacje przez natłok obrazów i dźwięków. Ponadto czytelnik wybierając czasopismo, które koresponduje z jego zainteresowaniami i potrzebami, płaci za nie i czyta tylko te fragmenty, które go interesują. W sposób świadomy dokonuje on zatem selekcji, a co za tym idzie </w:t>
      </w:r>
      <w:r w:rsidR="006E383F">
        <w:rPr>
          <w:rFonts w:ascii="Times New Roman" w:hAnsi="Times New Roman" w:cs="Times New Roman"/>
          <w:sz w:val="24"/>
          <w:szCs w:val="24"/>
        </w:rPr>
        <w:t>–</w:t>
      </w:r>
      <w:r w:rsidR="00383FE2" w:rsidRPr="006E383F">
        <w:rPr>
          <w:rFonts w:ascii="Times New Roman" w:hAnsi="Times New Roman" w:cs="Times New Roman"/>
          <w:sz w:val="24"/>
          <w:szCs w:val="24"/>
        </w:rPr>
        <w:t xml:space="preserve"> nie jest narażony na przypadkowe komunikaty z różnego rodzaju „niepotwierdzonych źródeł”</w:t>
      </w:r>
      <w:r>
        <w:rPr>
          <w:rFonts w:ascii="Times New Roman" w:hAnsi="Times New Roman" w:cs="Times New Roman"/>
          <w:sz w:val="24"/>
          <w:szCs w:val="24"/>
        </w:rPr>
        <w:t>;</w:t>
      </w:r>
    </w:p>
    <w:p w:rsidR="00871C0E" w:rsidRPr="00871C0E" w:rsidRDefault="00871C0E" w:rsidP="00871C0E">
      <w:pPr>
        <w:pStyle w:val="Akapitzlist"/>
        <w:rPr>
          <w:rFonts w:ascii="Times New Roman" w:hAnsi="Times New Roman" w:cs="Times New Roman"/>
          <w:sz w:val="16"/>
          <w:szCs w:val="16"/>
        </w:rPr>
      </w:pPr>
    </w:p>
    <w:p w:rsidR="00465857" w:rsidRPr="00C932D3" w:rsidRDefault="00CC7B57" w:rsidP="005A2B8F">
      <w:pPr>
        <w:pStyle w:val="Akapitzlist"/>
        <w:numPr>
          <w:ilvl w:val="0"/>
          <w:numId w:val="27"/>
        </w:numPr>
        <w:autoSpaceDE w:val="0"/>
        <w:autoSpaceDN w:val="0"/>
        <w:adjustRightInd w:val="0"/>
        <w:spacing w:before="240"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w:t>
      </w:r>
      <w:r w:rsidR="00383FE2" w:rsidRPr="006E383F">
        <w:rPr>
          <w:rFonts w:ascii="Times New Roman" w:hAnsi="Times New Roman" w:cs="Times New Roman"/>
          <w:sz w:val="24"/>
          <w:szCs w:val="24"/>
        </w:rPr>
        <w:t>acjenci preferują otrzymywanie usystematyzowanych i zwięzłych informacji, opatrzonych jasnymi nagłówkami, z wyróżnionymi najważniejszymi sekcjami, informacji zawartych w krótkich blokach tekstowych z dobrym indeksem. Czasopisma dostarczają informacji dokładnie według tych kryteriów i są, zatem, odpowiednim medium do przekazywania informacji o zdrowiu i sposobach leczenia.</w:t>
      </w:r>
    </w:p>
    <w:sectPr w:rsidR="00465857" w:rsidRPr="00C932D3" w:rsidSect="00D0084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8B6" w:rsidRDefault="00A028B6" w:rsidP="004B2543">
      <w:pPr>
        <w:spacing w:after="0" w:line="240" w:lineRule="auto"/>
      </w:pPr>
      <w:r>
        <w:separator/>
      </w:r>
    </w:p>
  </w:endnote>
  <w:endnote w:type="continuationSeparator" w:id="1">
    <w:p w:rsidR="00A028B6" w:rsidRDefault="00A028B6" w:rsidP="004B2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D3" w:rsidRDefault="00F47BDC">
    <w:pPr>
      <w:pStyle w:val="Stopka"/>
      <w:framePr w:wrap="around" w:vAnchor="text" w:hAnchor="margin" w:xAlign="right" w:y="1"/>
      <w:rPr>
        <w:rStyle w:val="Numerstrony"/>
      </w:rPr>
    </w:pPr>
    <w:r>
      <w:rPr>
        <w:rStyle w:val="Numerstrony"/>
      </w:rPr>
      <w:fldChar w:fldCharType="begin"/>
    </w:r>
    <w:r w:rsidR="00C932D3">
      <w:rPr>
        <w:rStyle w:val="Numerstrony"/>
      </w:rPr>
      <w:instrText xml:space="preserve">PAGE  </w:instrText>
    </w:r>
    <w:r>
      <w:rPr>
        <w:rStyle w:val="Numerstrony"/>
      </w:rPr>
      <w:fldChar w:fldCharType="end"/>
    </w:r>
  </w:p>
  <w:p w:rsidR="00C932D3" w:rsidRDefault="00C932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D3" w:rsidRDefault="00F47BDC">
    <w:pPr>
      <w:pStyle w:val="Stopka"/>
      <w:framePr w:wrap="around" w:vAnchor="text" w:hAnchor="margin" w:xAlign="right" w:y="1"/>
      <w:rPr>
        <w:rStyle w:val="Numerstrony"/>
      </w:rPr>
    </w:pPr>
    <w:r>
      <w:rPr>
        <w:rStyle w:val="Numerstrony"/>
      </w:rPr>
      <w:fldChar w:fldCharType="begin"/>
    </w:r>
    <w:r w:rsidR="00C932D3">
      <w:rPr>
        <w:rStyle w:val="Numerstrony"/>
      </w:rPr>
      <w:instrText xml:space="preserve">PAGE  </w:instrText>
    </w:r>
    <w:r>
      <w:rPr>
        <w:rStyle w:val="Numerstrony"/>
      </w:rPr>
      <w:fldChar w:fldCharType="separate"/>
    </w:r>
    <w:r w:rsidR="004443F7">
      <w:rPr>
        <w:rStyle w:val="Numerstrony"/>
        <w:noProof/>
      </w:rPr>
      <w:t>1</w:t>
    </w:r>
    <w:r>
      <w:rPr>
        <w:rStyle w:val="Numerstrony"/>
      </w:rPr>
      <w:fldChar w:fldCharType="end"/>
    </w:r>
  </w:p>
  <w:p w:rsidR="00C932D3" w:rsidRDefault="00C932D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8B6" w:rsidRDefault="00A028B6" w:rsidP="004B2543">
      <w:pPr>
        <w:spacing w:after="0" w:line="240" w:lineRule="auto"/>
      </w:pPr>
      <w:r>
        <w:separator/>
      </w:r>
    </w:p>
  </w:footnote>
  <w:footnote w:type="continuationSeparator" w:id="1">
    <w:p w:rsidR="00A028B6" w:rsidRDefault="00A028B6" w:rsidP="004B2543">
      <w:pPr>
        <w:spacing w:after="0" w:line="240" w:lineRule="auto"/>
      </w:pPr>
      <w:r>
        <w:continuationSeparator/>
      </w:r>
    </w:p>
  </w:footnote>
  <w:footnote w:id="2">
    <w:p w:rsidR="00C932D3" w:rsidRPr="00431393" w:rsidRDefault="00C932D3" w:rsidP="005A2B8F">
      <w:pPr>
        <w:autoSpaceDE w:val="0"/>
        <w:autoSpaceDN w:val="0"/>
        <w:adjustRightInd w:val="0"/>
        <w:jc w:val="both"/>
        <w:rPr>
          <w:rFonts w:ascii="Times New Roman" w:hAnsi="Times New Roman" w:cs="Times New Roman"/>
          <w:sz w:val="20"/>
          <w:szCs w:val="20"/>
        </w:rPr>
      </w:pPr>
      <w:r w:rsidRPr="00431393">
        <w:rPr>
          <w:rStyle w:val="Odwoanieprzypisudolnego"/>
          <w:rFonts w:ascii="Times New Roman" w:hAnsi="Times New Roman" w:cs="Times New Roman"/>
          <w:sz w:val="20"/>
          <w:szCs w:val="20"/>
        </w:rPr>
        <w:footnoteRef/>
      </w:r>
      <w:r w:rsidRPr="00431393">
        <w:rPr>
          <w:rFonts w:ascii="Times New Roman" w:hAnsi="Times New Roman" w:cs="Times New Roman"/>
          <w:sz w:val="20"/>
          <w:szCs w:val="20"/>
        </w:rPr>
        <w:t xml:space="preserve"> </w:t>
      </w:r>
      <w:r w:rsidRPr="00431393">
        <w:rPr>
          <w:rFonts w:ascii="Times New Roman" w:hAnsi="Times New Roman" w:cs="Times New Roman"/>
          <w:bCs/>
          <w:sz w:val="20"/>
          <w:szCs w:val="20"/>
        </w:rPr>
        <w:t>Dyrektywa Rady z dnia 13 grudnia 2004 r. wprowadzająca w życie zasadę równego traktowania mężczyzn i kobiet w zakresie dostępu do towarów i usług oraz dostarczania towarów i usług.</w:t>
      </w:r>
    </w:p>
  </w:footnote>
  <w:footnote w:id="3">
    <w:p w:rsidR="008C2C17" w:rsidRDefault="008C2C17" w:rsidP="005A2B8F">
      <w:pPr>
        <w:pStyle w:val="Tekstprzypisudolnego"/>
        <w:jc w:val="both"/>
      </w:pPr>
      <w:r>
        <w:rPr>
          <w:rStyle w:val="Odwoanieprzypisudolnego"/>
        </w:rPr>
        <w:footnoteRef/>
      </w:r>
      <w:r>
        <w:t xml:space="preserve"> </w:t>
      </w:r>
      <w:r w:rsidRPr="00431393">
        <w:t>Dyrektywa 2001/29/WE Parlamentu Europejskiego i Rady z dnia 22 maja 2001 r. w sprawie harmonizacji niektórych aspektów praw autorskich i pokrewnych w społeczeństwie informacyjnym – D</w:t>
      </w:r>
      <w:r w:rsidRPr="00431393">
        <w:rPr>
          <w:rStyle w:val="Uwydatnienie"/>
        </w:rPr>
        <w:t>z.</w:t>
      </w:r>
      <w:r w:rsidRPr="00431393">
        <w:rPr>
          <w:rStyle w:val="Uwydatnienie"/>
          <w:i w:val="0"/>
        </w:rPr>
        <w:t xml:space="preserve"> Urz. nr L </w:t>
      </w:r>
      <w:r>
        <w:rPr>
          <w:rStyle w:val="Uwydatnienie"/>
          <w:i w:val="0"/>
        </w:rPr>
        <w:t xml:space="preserve">167 z 22. czerwca 2001 r., s. </w:t>
      </w:r>
      <w:r w:rsidRPr="00431393">
        <w:rPr>
          <w:rStyle w:val="Uwydatnienie"/>
          <w:i w:val="0"/>
        </w:rPr>
        <w:t>10</w:t>
      </w:r>
      <w:r>
        <w:rPr>
          <w:rStyle w:val="Uwydatnienie"/>
          <w:i w:val="0"/>
        </w:rPr>
        <w:t>.</w:t>
      </w:r>
    </w:p>
  </w:footnote>
  <w:footnote w:id="4">
    <w:p w:rsidR="004C7CC8" w:rsidRDefault="004C7CC8" w:rsidP="005A2B8F">
      <w:pPr>
        <w:pStyle w:val="Tekstprzypisudolnego"/>
        <w:jc w:val="both"/>
      </w:pPr>
      <w:r>
        <w:rPr>
          <w:rStyle w:val="Odwoanieprzypisudolnego"/>
        </w:rPr>
        <w:footnoteRef/>
      </w:r>
      <w:r>
        <w:t xml:space="preserve"> Dz. U. z 1994 r., nr 24, poz. 83.</w:t>
      </w:r>
    </w:p>
  </w:footnote>
  <w:footnote w:id="5">
    <w:p w:rsidR="00C932D3" w:rsidRPr="00A50913" w:rsidRDefault="00C932D3" w:rsidP="005A2B8F">
      <w:pPr>
        <w:pStyle w:val="Tekstprzypisudolnego"/>
        <w:jc w:val="both"/>
      </w:pPr>
      <w:r>
        <w:rPr>
          <w:rStyle w:val="Odwoanieprzypisudolnego"/>
        </w:rPr>
        <w:footnoteRef/>
      </w:r>
      <w:r>
        <w:t xml:space="preserve"> </w:t>
      </w:r>
      <w:r w:rsidRPr="00A50913">
        <w:rPr>
          <w:rFonts w:eastAsia="EUAlbertina-Regular-Identity-H"/>
        </w:rPr>
        <w:t xml:space="preserve">Dyrektywa 2002/19/WE Parlamentu Europejskiego i Rady z dnia 7 marca 2002 r. w sprawie dostępu do sieci łączności elektronicznej i urządzeń towarzyszących oraz wzajemnych połączeń </w:t>
      </w:r>
      <w:r w:rsidRPr="00A50913">
        <w:t xml:space="preserve">– </w:t>
      </w:r>
      <w:r w:rsidRPr="00A50913">
        <w:rPr>
          <w:rFonts w:eastAsia="EUAlbertina-Regular-Identity-H"/>
        </w:rPr>
        <w:t>Dz. Urz. nr L 108 z 24 kwietnia 2002 r., s. 7.</w:t>
      </w:r>
    </w:p>
  </w:footnote>
  <w:footnote w:id="6">
    <w:p w:rsidR="00C932D3" w:rsidRPr="00A50913" w:rsidRDefault="00C932D3" w:rsidP="005A2B8F">
      <w:pPr>
        <w:autoSpaceDE w:val="0"/>
        <w:autoSpaceDN w:val="0"/>
        <w:adjustRightInd w:val="0"/>
        <w:spacing w:after="0" w:line="240" w:lineRule="auto"/>
        <w:jc w:val="both"/>
        <w:rPr>
          <w:rFonts w:ascii="Times New Roman" w:eastAsia="EUAlbertina-Regular-Identity-H" w:hAnsi="Times New Roman" w:cs="Times New Roman"/>
          <w:sz w:val="20"/>
          <w:szCs w:val="20"/>
        </w:rPr>
      </w:pPr>
      <w:r w:rsidRPr="00A50913">
        <w:rPr>
          <w:rStyle w:val="Odwoanieprzypisudolnego"/>
          <w:rFonts w:ascii="Times New Roman" w:hAnsi="Times New Roman" w:cs="Times New Roman"/>
          <w:sz w:val="20"/>
          <w:szCs w:val="20"/>
        </w:rPr>
        <w:footnoteRef/>
      </w:r>
      <w:r w:rsidRPr="00A50913">
        <w:rPr>
          <w:rFonts w:ascii="Times New Roman" w:hAnsi="Times New Roman" w:cs="Times New Roman"/>
          <w:sz w:val="20"/>
          <w:szCs w:val="20"/>
        </w:rPr>
        <w:t xml:space="preserve"> Dyrektywa </w:t>
      </w:r>
      <w:r w:rsidRPr="00A50913">
        <w:rPr>
          <w:rFonts w:ascii="Times New Roman" w:eastAsia="EUAlbertina-Regular-Identity-H" w:hAnsi="Times New Roman" w:cs="Times New Roman"/>
          <w:sz w:val="20"/>
          <w:szCs w:val="20"/>
        </w:rPr>
        <w:t>2002/20/WE Parlamentu Europejskiego i Rady z dnia 7 marca 2002 r. w sprawie</w:t>
      </w:r>
    </w:p>
    <w:p w:rsidR="00C932D3" w:rsidRPr="00A50913" w:rsidRDefault="00C932D3" w:rsidP="005A2B8F">
      <w:pPr>
        <w:autoSpaceDE w:val="0"/>
        <w:autoSpaceDN w:val="0"/>
        <w:adjustRightInd w:val="0"/>
        <w:spacing w:after="0" w:line="240" w:lineRule="auto"/>
        <w:jc w:val="both"/>
        <w:rPr>
          <w:rFonts w:ascii="Times New Roman" w:hAnsi="Times New Roman" w:cs="Times New Roman"/>
          <w:sz w:val="20"/>
          <w:szCs w:val="20"/>
        </w:rPr>
      </w:pPr>
      <w:r w:rsidRPr="00A50913">
        <w:rPr>
          <w:rFonts w:ascii="Times New Roman" w:eastAsia="EUAlbertina-Regular-Identity-H" w:hAnsi="Times New Roman" w:cs="Times New Roman"/>
          <w:sz w:val="20"/>
          <w:szCs w:val="20"/>
        </w:rPr>
        <w:t xml:space="preserve">zezwoleń na udostępnienie sieci i usług łączności elektronicznej– Dz. Urz. nr L 108 z 24 kwietnia 2002 r. , s. 21; </w:t>
      </w:r>
      <w:r w:rsidRPr="00A50913">
        <w:rPr>
          <w:rFonts w:ascii="Times New Roman" w:hAnsi="Times New Roman" w:cs="Times New Roman"/>
          <w:sz w:val="20"/>
          <w:szCs w:val="20"/>
        </w:rPr>
        <w:t>dyrektywy 2002/58/WE Parlamentu Europejskiego i Rady z dnia 12 lipca 2002 r. dotyczącej przetwarzana danych osobowych i ochrony prywatności w sektorze łączności elektronicznej - Dz. Urz. nr L 201 z 31 lipca 2002, s. .</w:t>
      </w:r>
    </w:p>
  </w:footnote>
  <w:footnote w:id="7">
    <w:p w:rsidR="00C932D3" w:rsidRPr="00A50913" w:rsidRDefault="00C932D3" w:rsidP="005A2B8F">
      <w:pPr>
        <w:autoSpaceDE w:val="0"/>
        <w:autoSpaceDN w:val="0"/>
        <w:adjustRightInd w:val="0"/>
        <w:spacing w:after="0" w:line="240" w:lineRule="auto"/>
        <w:jc w:val="both"/>
        <w:rPr>
          <w:rFonts w:ascii="Times New Roman" w:hAnsi="Times New Roman" w:cs="Times New Roman"/>
          <w:sz w:val="20"/>
          <w:szCs w:val="20"/>
        </w:rPr>
      </w:pPr>
      <w:r w:rsidRPr="00A50913">
        <w:rPr>
          <w:rStyle w:val="Odwoanieprzypisudolnego"/>
          <w:rFonts w:ascii="Times New Roman" w:hAnsi="Times New Roman" w:cs="Times New Roman"/>
          <w:sz w:val="20"/>
          <w:szCs w:val="20"/>
        </w:rPr>
        <w:footnoteRef/>
      </w:r>
      <w:r w:rsidRPr="00A50913">
        <w:rPr>
          <w:rFonts w:ascii="Times New Roman" w:hAnsi="Times New Roman" w:cs="Times New Roman"/>
          <w:sz w:val="20"/>
          <w:szCs w:val="20"/>
        </w:rPr>
        <w:t xml:space="preserve"> </w:t>
      </w:r>
      <w:r w:rsidRPr="00A50913">
        <w:rPr>
          <w:rFonts w:ascii="Times New Roman" w:eastAsia="EUAlbertina-Regular-Identity-H" w:hAnsi="Times New Roman" w:cs="Times New Roman"/>
          <w:sz w:val="20"/>
          <w:szCs w:val="20"/>
        </w:rPr>
        <w:t>Dyrektywa 2002/21/WE Parlamentu Europejskiego i Rady z dnia 7 marca 2002 r. w sprawie wspólnych ram regulacyjnych sieci i usług łączności elektronicznej – Dz. Urz. nr L 108 z 24 kwietnia 2002 r., s. 33.</w:t>
      </w:r>
    </w:p>
  </w:footnote>
  <w:footnote w:id="8">
    <w:p w:rsidR="00C932D3" w:rsidRPr="00A50913" w:rsidRDefault="00C932D3" w:rsidP="005A2B8F">
      <w:pPr>
        <w:autoSpaceDE w:val="0"/>
        <w:autoSpaceDN w:val="0"/>
        <w:adjustRightInd w:val="0"/>
        <w:spacing w:after="0" w:line="240" w:lineRule="auto"/>
        <w:jc w:val="both"/>
        <w:rPr>
          <w:rFonts w:ascii="Times New Roman" w:hAnsi="Times New Roman" w:cs="Times New Roman"/>
          <w:sz w:val="20"/>
          <w:szCs w:val="20"/>
        </w:rPr>
      </w:pPr>
      <w:r w:rsidRPr="00A50913">
        <w:rPr>
          <w:rStyle w:val="Odwoanieprzypisudolnego"/>
          <w:rFonts w:ascii="Times New Roman" w:hAnsi="Times New Roman" w:cs="Times New Roman"/>
          <w:sz w:val="20"/>
          <w:szCs w:val="20"/>
        </w:rPr>
        <w:footnoteRef/>
      </w:r>
      <w:r w:rsidRPr="00A50913">
        <w:rPr>
          <w:rFonts w:ascii="Times New Roman" w:hAnsi="Times New Roman" w:cs="Times New Roman"/>
          <w:sz w:val="20"/>
          <w:szCs w:val="20"/>
        </w:rPr>
        <w:t xml:space="preserve"> </w:t>
      </w:r>
      <w:r w:rsidRPr="00A50913">
        <w:rPr>
          <w:rFonts w:ascii="Times New Roman" w:eastAsia="EUAlbertina-Regular-Identity-H" w:hAnsi="Times New Roman" w:cs="Times New Roman"/>
          <w:sz w:val="20"/>
          <w:szCs w:val="20"/>
        </w:rPr>
        <w:t>Dyrektywa 2002/22/WE Parlamentu Europejskiego i Rady z dnia 7 marca 2002 r. w sprawie usługi powszechnej i związanych z sieciami i usługami łączności elektronicznej praw użytkowników – Dz. Urz. nr L 108 z 24 kwietnia 2002 r., s. 51</w:t>
      </w:r>
    </w:p>
  </w:footnote>
  <w:footnote w:id="9">
    <w:p w:rsidR="00C932D3" w:rsidRPr="00A50913" w:rsidRDefault="00C932D3" w:rsidP="005A2B8F">
      <w:pPr>
        <w:autoSpaceDE w:val="0"/>
        <w:autoSpaceDN w:val="0"/>
        <w:adjustRightInd w:val="0"/>
        <w:spacing w:after="0" w:line="240" w:lineRule="auto"/>
        <w:jc w:val="both"/>
        <w:rPr>
          <w:rFonts w:ascii="Times New Roman" w:hAnsi="Times New Roman" w:cs="Times New Roman"/>
          <w:sz w:val="20"/>
          <w:szCs w:val="20"/>
        </w:rPr>
      </w:pPr>
      <w:r w:rsidRPr="00A50913">
        <w:rPr>
          <w:rStyle w:val="Odwoanieprzypisudolnego"/>
          <w:rFonts w:ascii="Times New Roman" w:hAnsi="Times New Roman" w:cs="Times New Roman"/>
          <w:sz w:val="20"/>
          <w:szCs w:val="20"/>
        </w:rPr>
        <w:footnoteRef/>
      </w:r>
      <w:r w:rsidRPr="00A50913">
        <w:rPr>
          <w:rFonts w:ascii="Times New Roman" w:hAnsi="Times New Roman" w:cs="Times New Roman"/>
          <w:sz w:val="20"/>
          <w:szCs w:val="20"/>
        </w:rPr>
        <w:t xml:space="preserve"> </w:t>
      </w:r>
      <w:r w:rsidRPr="00A50913">
        <w:rPr>
          <w:rFonts w:ascii="Times New Roman" w:eastAsia="EUAlbertina-Regular-Identity-H" w:hAnsi="Times New Roman" w:cs="Times New Roman"/>
          <w:sz w:val="20"/>
          <w:szCs w:val="20"/>
        </w:rPr>
        <w:t>Dyrektywa 2002/58/WE Parlamentu Europejskiego i Rady z dnia 12 lipca 2002 r. dotycząca przetwarzania danych osobowych i ochrony prywatności w sektorze łączności elektronicznej – Dz. Urz. nr L 201 z 31 lipca 2002 r., s. 37.</w:t>
      </w:r>
    </w:p>
  </w:footnote>
  <w:footnote w:id="10">
    <w:p w:rsidR="00C932D3" w:rsidRDefault="00C932D3" w:rsidP="005A2B8F">
      <w:pPr>
        <w:pStyle w:val="Tekstprzypisudolnego"/>
        <w:jc w:val="both"/>
      </w:pPr>
      <w:r>
        <w:rPr>
          <w:rStyle w:val="Odwoanieprzypisudolnego"/>
        </w:rPr>
        <w:footnoteRef/>
      </w:r>
      <w:r>
        <w:t xml:space="preserve"> </w:t>
      </w:r>
      <w:r w:rsidRPr="00431393">
        <w:t>Cookies [ciasteczka] – n</w:t>
      </w:r>
      <w:r w:rsidRPr="00431393">
        <w:rPr>
          <w:color w:val="000000"/>
        </w:rPr>
        <w:t xml:space="preserve">iewielkie informacje tekstowe, wysyłane przez serwer WWW i zapisywane po stronie użytkownika, służące m.in. do zliczenia częstotliwości odwiedzin danej strony przez danego użytkownika. </w:t>
      </w:r>
      <w:r w:rsidRPr="00431393">
        <w:t>Więcej informacji pod adresem: http://www.allaboutcookies.org</w:t>
      </w:r>
      <w:r>
        <w:t>.</w:t>
      </w:r>
    </w:p>
  </w:footnote>
  <w:footnote w:id="11">
    <w:p w:rsidR="00C932D3" w:rsidRPr="00081BBF" w:rsidRDefault="00C932D3" w:rsidP="005A2B8F">
      <w:pPr>
        <w:spacing w:after="0" w:line="240" w:lineRule="auto"/>
        <w:jc w:val="both"/>
        <w:rPr>
          <w:rFonts w:ascii="Times New Roman" w:hAnsi="Times New Roman" w:cs="Times New Roman"/>
          <w:sz w:val="20"/>
          <w:szCs w:val="20"/>
        </w:rPr>
      </w:pPr>
      <w:r>
        <w:rPr>
          <w:rStyle w:val="Odwoanieprzypisudolnego"/>
        </w:rPr>
        <w:footnoteRef/>
      </w:r>
      <w:r>
        <w:t xml:space="preserve"> </w:t>
      </w:r>
      <w:r w:rsidRPr="0017328A">
        <w:rPr>
          <w:rFonts w:ascii="Times New Roman" w:hAnsi="Times New Roman" w:cs="Times New Roman"/>
          <w:sz w:val="20"/>
          <w:szCs w:val="20"/>
        </w:rPr>
        <w:t>Ustęp 26 uzyskał następujące brzmienie: „Konkurencyjny rynek powinien zapewnić użytkownikom korzystanie z usług o jakości, której wymagają, jednak w szczególnych przypadkach konieczne może być zapewnienie, aby publiczne sieci łączności osiągały minimalny poziom jakości, a tym samym jakość usługi nie pogarszała się, dostęp do sieci nie był blokowany, a ruch w sieciach – spowolniony. W celu sprostania wymogom w zakresie jakości operatorzy mogą stosować procedury służące pomiarowi i organizowaniu ruchu na połączeniu z siecią, żeby zapobiec osiągnięciu pojemności łącza lub jej przekroczeniu, co spowodowałoby przeciążenie sieci i złą wydajność. Procedury te podlegają kontroli przez krajowy organ regulacyjny działający zgodnie z przepisami dyrektywy ramowej i dyrektyw szczegółowych w celu zagwarantowania, że nie ograniczają konkurencji, w szczególności poprzez uwzględnienie kwestii dyskryminacyjnego zachowania. Jeżeli jest to właściwe, krajowe organy regulacyjne mogą także nałożyć na przedsiębiorstwa dostarczające publicznych sieci łączności wymogi dotyczące minimalnej jakości usług w celu zagwarantowania, że dostarczane usługi i aplikacje uzależnione od danej sieci spełniają minimalne normy jakości, z zastrzeżeniem zbadania tego przez Komisję. Krajowe organy regulacyjne są uprawnione do podjęcia działań w reakcji na pogorszenie się jakości usług, w tym utrudnianie lub spowolnienie ruchu, ze szkodą dla konsumentów. Ponieważ jednak niespójne środki zaradcze mogą poważnie zaburzyć pełną realizację rynku wewnętrznego, Komisja powinna przeprowadzić ocenę wszelkich wymogów dotyczących ewentualnej interwencji regulacyjnej we Wspólnocie, które mają być wprowadzone przez krajowe organy regulacyjne, oraz w razie potrzeby wydać uwagi lub zalecenia w celu osiągnięcia spójności ich stosowania”</w:t>
      </w:r>
    </w:p>
  </w:footnote>
  <w:footnote w:id="12">
    <w:p w:rsidR="00C932D3" w:rsidRPr="00085470" w:rsidRDefault="00C932D3" w:rsidP="005A2B8F">
      <w:pPr>
        <w:autoSpaceDE w:val="0"/>
        <w:autoSpaceDN w:val="0"/>
        <w:adjustRightInd w:val="0"/>
        <w:spacing w:after="0" w:line="240" w:lineRule="auto"/>
        <w:jc w:val="both"/>
        <w:rPr>
          <w:rFonts w:ascii="Times New Roman" w:hAnsi="Times New Roman" w:cs="Times New Roman"/>
          <w:sz w:val="20"/>
          <w:szCs w:val="20"/>
        </w:rPr>
      </w:pPr>
      <w:r>
        <w:rPr>
          <w:rStyle w:val="Odwoanieprzypisudolnego"/>
        </w:rPr>
        <w:footnoteRef/>
      </w:r>
      <w:r>
        <w:t xml:space="preserve"> </w:t>
      </w:r>
      <w:r w:rsidRPr="00085470">
        <w:rPr>
          <w:rFonts w:ascii="Times New Roman" w:hAnsi="Times New Roman" w:cs="Times New Roman"/>
          <w:sz w:val="20"/>
          <w:szCs w:val="20"/>
        </w:rPr>
        <w:t xml:space="preserve">Zielona Księga w sprawie </w:t>
      </w:r>
      <w:r w:rsidRPr="00085470">
        <w:rPr>
          <w:rFonts w:ascii="Times New Roman" w:hAnsi="Times New Roman" w:cs="Times New Roman"/>
          <w:bCs/>
          <w:sz w:val="20"/>
          <w:szCs w:val="20"/>
        </w:rPr>
        <w:t>przeglądu dorobku wspólnotowego w dziedzinie praw konsumenta</w:t>
      </w:r>
      <w:r w:rsidRPr="00085470">
        <w:rPr>
          <w:rFonts w:ascii="Times New Roman" w:hAnsi="Times New Roman" w:cs="Times New Roman"/>
          <w:sz w:val="20"/>
          <w:szCs w:val="20"/>
        </w:rPr>
        <w:t xml:space="preserve"> </w:t>
      </w:r>
      <w:r w:rsidR="00FC7E1D">
        <w:rPr>
          <w:rFonts w:ascii="Times New Roman" w:hAnsi="Times New Roman" w:cs="Times New Roman"/>
          <w:sz w:val="20"/>
          <w:szCs w:val="20"/>
        </w:rPr>
        <w:t>–</w:t>
      </w:r>
      <w:r w:rsidRPr="00085470">
        <w:rPr>
          <w:rFonts w:ascii="Times New Roman" w:hAnsi="Times New Roman" w:cs="Times New Roman"/>
          <w:sz w:val="20"/>
          <w:szCs w:val="20"/>
        </w:rPr>
        <w:t xml:space="preserve"> KOM (2006) 744 wersja ostateczna.</w:t>
      </w:r>
    </w:p>
  </w:footnote>
  <w:footnote w:id="13">
    <w:p w:rsidR="00C932D3" w:rsidRDefault="00C932D3" w:rsidP="005A2B8F">
      <w:pPr>
        <w:pStyle w:val="Tekstprzypisudolnego"/>
        <w:jc w:val="both"/>
      </w:pPr>
      <w:r>
        <w:rPr>
          <w:rStyle w:val="Odwoanieprzypisudolnego"/>
        </w:rPr>
        <w:footnoteRef/>
      </w:r>
      <w:r>
        <w:t xml:space="preserve"> </w:t>
      </w:r>
      <w:r>
        <w:rPr>
          <w:rFonts w:ascii="TimesNewRomanPSMT" w:hAnsi="TimesNewRomanPSMT" w:cs="TimesNewRomanPSMT"/>
        </w:rPr>
        <w:t>Dyrektywa Parlamentu Europejskiego i Rady 97/7/WE z dnia 20 maja 1997 r. w sprawie ochrony konsumentów w przypadku umów zawieranych na odległość - Dz. Urz. nr L 144 z 4 czerwca 1997 r., s. 19.</w:t>
      </w:r>
    </w:p>
  </w:footnote>
  <w:footnote w:id="14">
    <w:p w:rsidR="00C932D3" w:rsidRDefault="00C932D3" w:rsidP="005A2B8F">
      <w:pPr>
        <w:pStyle w:val="Tekstprzypisudolnego"/>
        <w:jc w:val="both"/>
      </w:pPr>
      <w:r>
        <w:rPr>
          <w:rStyle w:val="Odwoanieprzypisudolnego"/>
        </w:rPr>
        <w:footnoteRef/>
      </w:r>
      <w:r>
        <w:t xml:space="preserve"> </w:t>
      </w:r>
      <w:r>
        <w:rPr>
          <w:rFonts w:ascii="TimesNewRomanPSMT" w:hAnsi="TimesNewRomanPSMT" w:cs="TimesNewRomanPSMT"/>
        </w:rPr>
        <w:t>Dyrektywa Rady 85/577/EWG z dnia 20 grudnia 1985 r. w sprawie ochrony konsumentów w odniesieniu do umów zawartych poza lokalem przedsiębiorstwa – Dz. Urz. nr L 372 z 31 grudnia 1985 r., s. 31.</w:t>
      </w:r>
    </w:p>
  </w:footnote>
  <w:footnote w:id="15">
    <w:p w:rsidR="00C932D3" w:rsidRPr="00431393" w:rsidRDefault="00C932D3" w:rsidP="005A2B8F">
      <w:pPr>
        <w:pStyle w:val="Tekstprzypisudolnego"/>
        <w:jc w:val="both"/>
      </w:pPr>
      <w:r w:rsidRPr="00431393">
        <w:rPr>
          <w:rStyle w:val="Odwoanieprzypisudolnego"/>
        </w:rPr>
        <w:footnoteRef/>
      </w:r>
      <w:r w:rsidRPr="00431393">
        <w:t xml:space="preserve"> Dz. U. z 2004 r., nr 54, poz. 535; dalej jako: „Ustawa o VAT”.</w:t>
      </w:r>
    </w:p>
  </w:footnote>
  <w:footnote w:id="16">
    <w:p w:rsidR="00C932D3" w:rsidRPr="00431393" w:rsidRDefault="00C932D3" w:rsidP="005A2B8F">
      <w:pPr>
        <w:pStyle w:val="Tekstprzypisudolnego"/>
        <w:jc w:val="both"/>
      </w:pPr>
      <w:r w:rsidRPr="00431393">
        <w:rPr>
          <w:rStyle w:val="Odwoanieprzypisudolnego"/>
        </w:rPr>
        <w:footnoteRef/>
      </w:r>
      <w:r w:rsidRPr="00431393">
        <w:t xml:space="preserve"> COM (2008) 428.</w:t>
      </w:r>
    </w:p>
  </w:footnote>
  <w:footnote w:id="17">
    <w:p w:rsidR="00C932D3" w:rsidRPr="00431393" w:rsidRDefault="00C932D3" w:rsidP="005A2B8F">
      <w:pPr>
        <w:pStyle w:val="Tekstprzypisudolnego"/>
        <w:jc w:val="both"/>
      </w:pPr>
      <w:r w:rsidRPr="00431393">
        <w:rPr>
          <w:rStyle w:val="Odwoanieprzypisudolnego"/>
        </w:rPr>
        <w:footnoteRef/>
      </w:r>
      <w:r w:rsidRPr="00431393">
        <w:t xml:space="preserve"> Rozporządzenie Ministra Finansów z dnia 28. listopada 2008 r. w sprawie wykonania niektórych przepisów ustawy o podatku od towarów i usług - Dz. U. z 2008 r., nr 212, poz. 1336.</w:t>
      </w:r>
    </w:p>
  </w:footnote>
  <w:footnote w:id="18">
    <w:p w:rsidR="00C932D3" w:rsidRPr="00431393" w:rsidRDefault="00C932D3" w:rsidP="005A2B8F">
      <w:pPr>
        <w:pStyle w:val="Tekstprzypisudolnego"/>
        <w:jc w:val="both"/>
      </w:pPr>
      <w:r w:rsidRPr="00431393">
        <w:rPr>
          <w:rStyle w:val="Odwoanieprzypisudolnego"/>
        </w:rPr>
        <w:footnoteRef/>
      </w:r>
      <w:r w:rsidRPr="00431393">
        <w:t xml:space="preserve"> Rozporządzenie Ministra Finansów z dnia 27 kwietnia 2004 r. w sprawie wykonania niektórych przepisów ustawy o podatku od towarów i usług – Dz. U. z 2004 r., nr 97, poz. 970.</w:t>
      </w:r>
    </w:p>
  </w:footnote>
  <w:footnote w:id="19">
    <w:p w:rsidR="00C932D3" w:rsidRPr="00431393" w:rsidRDefault="00C932D3" w:rsidP="005A2B8F">
      <w:pPr>
        <w:spacing w:after="0" w:line="240" w:lineRule="auto"/>
        <w:jc w:val="both"/>
        <w:rPr>
          <w:rFonts w:ascii="Times New Roman" w:eastAsia="Calibri" w:hAnsi="Times New Roman" w:cs="Times New Roman"/>
          <w:sz w:val="20"/>
          <w:szCs w:val="20"/>
        </w:rPr>
      </w:pPr>
      <w:r w:rsidRPr="00431393">
        <w:rPr>
          <w:rStyle w:val="Odwoanieprzypisudolnego"/>
          <w:rFonts w:ascii="Times New Roman" w:eastAsia="Calibri" w:hAnsi="Times New Roman" w:cs="Times New Roman"/>
          <w:sz w:val="20"/>
          <w:szCs w:val="20"/>
        </w:rPr>
        <w:footnoteRef/>
      </w:r>
      <w:r w:rsidRPr="00431393">
        <w:rPr>
          <w:rFonts w:ascii="Times New Roman" w:hAnsi="Times New Roman" w:cs="Times New Roman"/>
          <w:sz w:val="20"/>
          <w:szCs w:val="20"/>
        </w:rPr>
        <w:t xml:space="preserve"> </w:t>
      </w:r>
      <w:r w:rsidRPr="00431393">
        <w:rPr>
          <w:rFonts w:ascii="Times New Roman" w:eastAsia="Calibri" w:hAnsi="Times New Roman" w:cs="Times New Roman"/>
          <w:sz w:val="20"/>
          <w:szCs w:val="20"/>
        </w:rPr>
        <w:t>Plan Stabilności i rozwoju</w:t>
      </w:r>
      <w:r w:rsidRPr="00431393">
        <w:rPr>
          <w:rFonts w:ascii="Times New Roman" w:hAnsi="Times New Roman" w:cs="Times New Roman"/>
          <w:sz w:val="20"/>
          <w:szCs w:val="20"/>
        </w:rPr>
        <w:t xml:space="preserve"> –</w:t>
      </w:r>
      <w:r w:rsidRPr="00431393">
        <w:rPr>
          <w:rFonts w:ascii="Times New Roman" w:eastAsia="Calibri" w:hAnsi="Times New Roman" w:cs="Times New Roman"/>
          <w:sz w:val="20"/>
          <w:szCs w:val="20"/>
        </w:rPr>
        <w:t xml:space="preserve"> wzmocnienie gospodarki Polski wobec światowego kryzysu finansowego,</w:t>
      </w:r>
      <w:r w:rsidRPr="00431393">
        <w:rPr>
          <w:rFonts w:ascii="Times New Roman" w:hAnsi="Times New Roman" w:cs="Times New Roman"/>
          <w:sz w:val="20"/>
          <w:szCs w:val="20"/>
        </w:rPr>
        <w:t xml:space="preserve"> </w:t>
      </w:r>
      <w:r w:rsidRPr="00431393">
        <w:rPr>
          <w:rFonts w:ascii="Times New Roman" w:eastAsia="Calibri" w:hAnsi="Times New Roman" w:cs="Times New Roman"/>
          <w:sz w:val="20"/>
          <w:szCs w:val="20"/>
        </w:rPr>
        <w:t>http://www.mf.gov.pl/_files_/aktualnoci/2008/12/plan_stabilnosci_i_rozwoju.pdf</w:t>
      </w:r>
    </w:p>
    <w:p w:rsidR="00C932D3" w:rsidRPr="00431393" w:rsidRDefault="00C932D3" w:rsidP="005A2B8F">
      <w:pPr>
        <w:pStyle w:val="Tekstprzypisudolnego"/>
        <w:jc w:val="both"/>
      </w:pPr>
    </w:p>
  </w:footnote>
  <w:footnote w:id="20">
    <w:p w:rsidR="00C932D3" w:rsidRPr="00431393" w:rsidRDefault="00C932D3" w:rsidP="005A2B8F">
      <w:pPr>
        <w:pStyle w:val="Tekstprzypisudolnego"/>
        <w:jc w:val="both"/>
      </w:pPr>
      <w:r w:rsidRPr="00431393">
        <w:rPr>
          <w:rStyle w:val="Odwoanieprzypisudolnego"/>
        </w:rPr>
        <w:footnoteRef/>
      </w:r>
      <w:r w:rsidRPr="00431393">
        <w:t xml:space="preserve"> Dyrektywa Rady 92/75/EWG z dnia 22 września 1992 r. w sprawie wskazania poprzez etykietowanie oraz standardowe informacje o produkcie, zużycia energii oraz innych zasobów przez urządzenia gospodarstwa domowego – Dz. Urz. nr L 297 z 13.10.1992, </w:t>
      </w:r>
      <w:r>
        <w:t>s.</w:t>
      </w:r>
      <w:r w:rsidRPr="00431393">
        <w:t xml:space="preserve"> 16; dalej jako: ELD.</w:t>
      </w:r>
    </w:p>
  </w:footnote>
  <w:footnote w:id="21">
    <w:p w:rsidR="00C932D3" w:rsidRPr="00431393" w:rsidRDefault="00C932D3" w:rsidP="005A2B8F">
      <w:pPr>
        <w:pStyle w:val="Tekstprzypisudolnego"/>
        <w:jc w:val="both"/>
      </w:pPr>
      <w:r w:rsidRPr="00431393">
        <w:rPr>
          <w:rStyle w:val="Odwoanieprzypisudolnego"/>
        </w:rPr>
        <w:footnoteRef/>
      </w:r>
      <w:r w:rsidRPr="00431393">
        <w:t xml:space="preserve"> </w:t>
      </w:r>
      <w:r w:rsidRPr="00431393">
        <w:rPr>
          <w:rFonts w:eastAsia="Calibri"/>
        </w:rPr>
        <w:t>Dokument z 13.11.2008 - KOM(2008) 778 wersja ostateczna, 2008/0222 (COD).</w:t>
      </w:r>
    </w:p>
  </w:footnote>
  <w:footnote w:id="22">
    <w:p w:rsidR="00C932D3" w:rsidRPr="00431393" w:rsidRDefault="00C932D3" w:rsidP="005A2B8F">
      <w:pPr>
        <w:pStyle w:val="Tekstprzypisudolnego"/>
        <w:jc w:val="both"/>
      </w:pPr>
      <w:r w:rsidRPr="00431393">
        <w:rPr>
          <w:rStyle w:val="Odwoanieprzypisudolnego"/>
        </w:rPr>
        <w:footnoteRef/>
      </w:r>
      <w:r w:rsidRPr="00431393">
        <w:t xml:space="preserve"> Dyrektywa Parlamentu Europejskiego i Rady 1999/94/WE z dnia 13 grudnia 1999 r., odnosząca się do dostępności dla konsumentów informacji o zużyciu paliwa i emisjach CO</w:t>
      </w:r>
      <w:r w:rsidRPr="00431393">
        <w:rPr>
          <w:vertAlign w:val="subscript"/>
        </w:rPr>
        <w:t>2</w:t>
      </w:r>
      <w:r w:rsidRPr="00431393">
        <w:t xml:space="preserve"> w odniesieniu do obrotu nowymi samochodami osobowymi - Dz. Urz. nr L 12 z 18 stycznia 2000 r., </w:t>
      </w:r>
      <w:r>
        <w:t>s.</w:t>
      </w:r>
      <w:r w:rsidRPr="00431393">
        <w:t xml:space="preserve"> 16.</w:t>
      </w:r>
    </w:p>
  </w:footnote>
  <w:footnote w:id="23">
    <w:p w:rsidR="00C932D3" w:rsidRPr="00431393" w:rsidRDefault="00C932D3" w:rsidP="005A2B8F">
      <w:pPr>
        <w:pStyle w:val="Tekstprzypisudolnego"/>
        <w:jc w:val="both"/>
      </w:pPr>
      <w:r w:rsidRPr="00431393">
        <w:rPr>
          <w:rStyle w:val="Odwoanieprzypisudolnego"/>
        </w:rPr>
        <w:footnoteRef/>
      </w:r>
      <w:r w:rsidRPr="00431393">
        <w:t xml:space="preserve"> Dyrektywa 2001/83/WE Parlamentu Europejskiego i Rady z dnia 6. listopada 2001 r. w sprawie wspólnotowego kodeksu odnoszącego się do produktów leczniczych stosowanych u ludzi </w:t>
      </w:r>
      <w:r w:rsidR="005A2B8F">
        <w:t>–</w:t>
      </w:r>
      <w:r w:rsidRPr="00431393">
        <w:t xml:space="preserve"> Dz. Urz. nr L 136 z 30 kwietnia 2004 r., </w:t>
      </w:r>
      <w:r>
        <w:t>s.</w:t>
      </w:r>
      <w:r w:rsidRPr="00431393">
        <w:t xml:space="preserve">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65" w:rsidRDefault="00033565" w:rsidP="0003356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C70"/>
    <w:multiLevelType w:val="hybridMultilevel"/>
    <w:tmpl w:val="A9F8242A"/>
    <w:lvl w:ilvl="0" w:tplc="A61E72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7C59B6"/>
    <w:multiLevelType w:val="hybridMultilevel"/>
    <w:tmpl w:val="A044C656"/>
    <w:lvl w:ilvl="0" w:tplc="1DCA2C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5475F"/>
    <w:multiLevelType w:val="hybridMultilevel"/>
    <w:tmpl w:val="18364AD8"/>
    <w:lvl w:ilvl="0" w:tplc="3236A0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DA778F6"/>
    <w:multiLevelType w:val="hybridMultilevel"/>
    <w:tmpl w:val="D50A7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FE7C2B"/>
    <w:multiLevelType w:val="hybridMultilevel"/>
    <w:tmpl w:val="09626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684502"/>
    <w:multiLevelType w:val="hybridMultilevel"/>
    <w:tmpl w:val="CE10BE92"/>
    <w:lvl w:ilvl="0" w:tplc="04150017">
      <w:start w:val="1"/>
      <w:numFmt w:val="lowerLetter"/>
      <w:lvlText w:val="%1)"/>
      <w:lvlJc w:val="left"/>
      <w:pPr>
        <w:ind w:left="1260" w:hanging="360"/>
      </w:pPr>
    </w:lvl>
    <w:lvl w:ilvl="1" w:tplc="60368E9A">
      <w:start w:val="1"/>
      <w:numFmt w:val="lowerLetter"/>
      <w:lvlText w:val="%2)"/>
      <w:lvlJc w:val="left"/>
      <w:pPr>
        <w:ind w:left="1980" w:hanging="360"/>
      </w:pPr>
      <w:rPr>
        <w:rFonts w:ascii="Times New Roman" w:eastAsiaTheme="minorHAnsi" w:hAnsi="Times New Roman" w:cs="Times New Roman"/>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nsid w:val="1183148F"/>
    <w:multiLevelType w:val="hybridMultilevel"/>
    <w:tmpl w:val="18EEC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20E08"/>
    <w:multiLevelType w:val="hybridMultilevel"/>
    <w:tmpl w:val="0792C056"/>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
    <w:nsid w:val="1B3621D5"/>
    <w:multiLevelType w:val="hybridMultilevel"/>
    <w:tmpl w:val="DF66E5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87F38E8"/>
    <w:multiLevelType w:val="hybridMultilevel"/>
    <w:tmpl w:val="3B30F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2A1EB4"/>
    <w:multiLevelType w:val="hybridMultilevel"/>
    <w:tmpl w:val="386E67B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C9181C"/>
    <w:multiLevelType w:val="hybridMultilevel"/>
    <w:tmpl w:val="40E4FB54"/>
    <w:lvl w:ilvl="0" w:tplc="1B1A3586">
      <w:start w:val="1"/>
      <w:numFmt w:val="lowerLetter"/>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4572092"/>
    <w:multiLevelType w:val="hybridMultilevel"/>
    <w:tmpl w:val="52FE64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9069CE"/>
    <w:multiLevelType w:val="hybridMultilevel"/>
    <w:tmpl w:val="8A8ED204"/>
    <w:lvl w:ilvl="0" w:tplc="8E84D9C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B80527F"/>
    <w:multiLevelType w:val="hybridMultilevel"/>
    <w:tmpl w:val="18364AD8"/>
    <w:lvl w:ilvl="0" w:tplc="3236A0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40193A20"/>
    <w:multiLevelType w:val="hybridMultilevel"/>
    <w:tmpl w:val="445E2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33415A"/>
    <w:multiLevelType w:val="hybridMultilevel"/>
    <w:tmpl w:val="0A9C5FC4"/>
    <w:lvl w:ilvl="0" w:tplc="1B1A358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F040DC4"/>
    <w:multiLevelType w:val="hybridMultilevel"/>
    <w:tmpl w:val="F6246686"/>
    <w:lvl w:ilvl="0" w:tplc="973E99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4F5772B9"/>
    <w:multiLevelType w:val="hybridMultilevel"/>
    <w:tmpl w:val="D50A7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46874"/>
    <w:multiLevelType w:val="hybridMultilevel"/>
    <w:tmpl w:val="B8D43BE4"/>
    <w:lvl w:ilvl="0" w:tplc="44FCFF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46DC0C"/>
    <w:multiLevelType w:val="hybridMultilevel"/>
    <w:tmpl w:val="C400C8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6930321"/>
    <w:multiLevelType w:val="hybridMultilevel"/>
    <w:tmpl w:val="4FA8742A"/>
    <w:lvl w:ilvl="0" w:tplc="6096B408">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F61C4E"/>
    <w:multiLevelType w:val="hybridMultilevel"/>
    <w:tmpl w:val="0EDEBFA4"/>
    <w:lvl w:ilvl="0" w:tplc="D1E49D34">
      <w:start w:val="10"/>
      <w:numFmt w:val="bullet"/>
      <w:lvlText w:val="-"/>
      <w:lvlJc w:val="left"/>
      <w:pPr>
        <w:tabs>
          <w:tab w:val="num" w:pos="1425"/>
        </w:tabs>
        <w:ind w:left="1425" w:hanging="360"/>
      </w:pPr>
      <w:rPr>
        <w:rFonts w:ascii="Times New Roman" w:eastAsia="Times New Roman" w:hAnsi="Times New Roman" w:cs="Times New Roman" w:hint="default"/>
        <w:sz w:val="24"/>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23">
    <w:nsid w:val="621A43C2"/>
    <w:multiLevelType w:val="hybridMultilevel"/>
    <w:tmpl w:val="601225FE"/>
    <w:lvl w:ilvl="0" w:tplc="8AAA1F8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25E77A0"/>
    <w:multiLevelType w:val="hybridMultilevel"/>
    <w:tmpl w:val="2AA202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905E99"/>
    <w:multiLevelType w:val="hybridMultilevel"/>
    <w:tmpl w:val="3B0EFCEC"/>
    <w:lvl w:ilvl="0" w:tplc="04150017">
      <w:start w:val="1"/>
      <w:numFmt w:val="lowerLetter"/>
      <w:lvlText w:val="%1)"/>
      <w:lvlJc w:val="left"/>
      <w:pPr>
        <w:ind w:left="720" w:hanging="360"/>
      </w:pPr>
      <w:rPr>
        <w:rFonts w:hint="default"/>
      </w:rPr>
    </w:lvl>
    <w:lvl w:ilvl="1" w:tplc="A0928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B4F4896"/>
    <w:multiLevelType w:val="hybridMultilevel"/>
    <w:tmpl w:val="BA1C625C"/>
    <w:lvl w:ilvl="0" w:tplc="8798437E">
      <w:start w:val="1"/>
      <w:numFmt w:val="lowerLetter"/>
      <w:lvlText w:val="%1)"/>
      <w:lvlJc w:val="left"/>
      <w:pPr>
        <w:ind w:left="927" w:hanging="360"/>
      </w:pPr>
      <w:rPr>
        <w:rFonts w:ascii="TimesNewRomanPSMT" w:hAnsi="TimesNewRomanPSMT" w:cs="TimesNewRomanPSMT"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3"/>
  </w:num>
  <w:num w:numId="2">
    <w:abstractNumId w:val="21"/>
  </w:num>
  <w:num w:numId="3">
    <w:abstractNumId w:val="19"/>
  </w:num>
  <w:num w:numId="4">
    <w:abstractNumId w:val="1"/>
  </w:num>
  <w:num w:numId="5">
    <w:abstractNumId w:val="14"/>
  </w:num>
  <w:num w:numId="6">
    <w:abstractNumId w:val="4"/>
  </w:num>
  <w:num w:numId="7">
    <w:abstractNumId w:val="9"/>
  </w:num>
  <w:num w:numId="8">
    <w:abstractNumId w:val="3"/>
  </w:num>
  <w:num w:numId="9">
    <w:abstractNumId w:val="25"/>
  </w:num>
  <w:num w:numId="10">
    <w:abstractNumId w:val="20"/>
  </w:num>
  <w:num w:numId="11">
    <w:abstractNumId w:val="2"/>
  </w:num>
  <w:num w:numId="12">
    <w:abstractNumId w:val="13"/>
  </w:num>
  <w:num w:numId="13">
    <w:abstractNumId w:val="1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7"/>
  </w:num>
  <w:num w:numId="18">
    <w:abstractNumId w:val="5"/>
  </w:num>
  <w:num w:numId="19">
    <w:abstractNumId w:val="6"/>
  </w:num>
  <w:num w:numId="20">
    <w:abstractNumId w:val="15"/>
  </w:num>
  <w:num w:numId="21">
    <w:abstractNumId w:val="0"/>
  </w:num>
  <w:num w:numId="22">
    <w:abstractNumId w:val="18"/>
  </w:num>
  <w:num w:numId="23">
    <w:abstractNumId w:val="17"/>
  </w:num>
  <w:num w:numId="24">
    <w:abstractNumId w:val="10"/>
  </w:num>
  <w:num w:numId="25">
    <w:abstractNumId w:val="24"/>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7E7A"/>
    <w:rsid w:val="00033565"/>
    <w:rsid w:val="00033C1C"/>
    <w:rsid w:val="00081BBF"/>
    <w:rsid w:val="00090F5D"/>
    <w:rsid w:val="00116881"/>
    <w:rsid w:val="00117BC9"/>
    <w:rsid w:val="00143DF2"/>
    <w:rsid w:val="0017328A"/>
    <w:rsid w:val="00176673"/>
    <w:rsid w:val="00187F92"/>
    <w:rsid w:val="001A6466"/>
    <w:rsid w:val="001C04AD"/>
    <w:rsid w:val="002239DE"/>
    <w:rsid w:val="002324D3"/>
    <w:rsid w:val="002517B8"/>
    <w:rsid w:val="00257116"/>
    <w:rsid w:val="00265433"/>
    <w:rsid w:val="00276FE8"/>
    <w:rsid w:val="00331DE5"/>
    <w:rsid w:val="00362616"/>
    <w:rsid w:val="003826DD"/>
    <w:rsid w:val="00383FE2"/>
    <w:rsid w:val="003B3F54"/>
    <w:rsid w:val="003B6B91"/>
    <w:rsid w:val="003F4056"/>
    <w:rsid w:val="0041327D"/>
    <w:rsid w:val="00431393"/>
    <w:rsid w:val="004443F7"/>
    <w:rsid w:val="00465857"/>
    <w:rsid w:val="0047296E"/>
    <w:rsid w:val="004734ED"/>
    <w:rsid w:val="00497339"/>
    <w:rsid w:val="004B2543"/>
    <w:rsid w:val="004B2E0E"/>
    <w:rsid w:val="004C3A83"/>
    <w:rsid w:val="004C7CC8"/>
    <w:rsid w:val="004F5B15"/>
    <w:rsid w:val="005103B0"/>
    <w:rsid w:val="005A2B8F"/>
    <w:rsid w:val="0061459D"/>
    <w:rsid w:val="00622F08"/>
    <w:rsid w:val="0063072C"/>
    <w:rsid w:val="006948A7"/>
    <w:rsid w:val="006E383F"/>
    <w:rsid w:val="006F7F9B"/>
    <w:rsid w:val="007141FB"/>
    <w:rsid w:val="00733B08"/>
    <w:rsid w:val="00747D0F"/>
    <w:rsid w:val="00762839"/>
    <w:rsid w:val="00824487"/>
    <w:rsid w:val="00843C55"/>
    <w:rsid w:val="00850E58"/>
    <w:rsid w:val="00851504"/>
    <w:rsid w:val="0086348E"/>
    <w:rsid w:val="00871C0E"/>
    <w:rsid w:val="008C2C17"/>
    <w:rsid w:val="00933A1F"/>
    <w:rsid w:val="009432FC"/>
    <w:rsid w:val="009510E3"/>
    <w:rsid w:val="00960BEA"/>
    <w:rsid w:val="009A553E"/>
    <w:rsid w:val="009A7E7A"/>
    <w:rsid w:val="009C2DC9"/>
    <w:rsid w:val="009E0085"/>
    <w:rsid w:val="009F79D7"/>
    <w:rsid w:val="00A028B6"/>
    <w:rsid w:val="00A16231"/>
    <w:rsid w:val="00A16F3A"/>
    <w:rsid w:val="00A232AB"/>
    <w:rsid w:val="00A4534F"/>
    <w:rsid w:val="00A50913"/>
    <w:rsid w:val="00A75BAC"/>
    <w:rsid w:val="00AC19EF"/>
    <w:rsid w:val="00B11530"/>
    <w:rsid w:val="00BD3892"/>
    <w:rsid w:val="00BD6260"/>
    <w:rsid w:val="00C06873"/>
    <w:rsid w:val="00C121C1"/>
    <w:rsid w:val="00C932D3"/>
    <w:rsid w:val="00CA3C58"/>
    <w:rsid w:val="00CB3E22"/>
    <w:rsid w:val="00CB7118"/>
    <w:rsid w:val="00CC7B57"/>
    <w:rsid w:val="00CF2120"/>
    <w:rsid w:val="00CF63A4"/>
    <w:rsid w:val="00D00843"/>
    <w:rsid w:val="00D1176A"/>
    <w:rsid w:val="00D56B97"/>
    <w:rsid w:val="00D62F31"/>
    <w:rsid w:val="00D860A3"/>
    <w:rsid w:val="00DC4D40"/>
    <w:rsid w:val="00E40EA0"/>
    <w:rsid w:val="00EC721B"/>
    <w:rsid w:val="00F20795"/>
    <w:rsid w:val="00F47BDC"/>
    <w:rsid w:val="00F7649C"/>
    <w:rsid w:val="00F97670"/>
    <w:rsid w:val="00FB68C7"/>
    <w:rsid w:val="00FC7E1D"/>
    <w:rsid w:val="00FE11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8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4B254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B254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B2543"/>
    <w:rPr>
      <w:vertAlign w:val="superscript"/>
    </w:rPr>
  </w:style>
  <w:style w:type="paragraph" w:styleId="Akapitzlist">
    <w:name w:val="List Paragraph"/>
    <w:basedOn w:val="Normalny"/>
    <w:uiPriority w:val="34"/>
    <w:qFormat/>
    <w:rsid w:val="00F7649C"/>
    <w:pPr>
      <w:ind w:left="720"/>
      <w:contextualSpacing/>
    </w:pPr>
  </w:style>
  <w:style w:type="character" w:styleId="Hipercze">
    <w:name w:val="Hyperlink"/>
    <w:basedOn w:val="Domylnaczcionkaakapitu"/>
    <w:uiPriority w:val="99"/>
    <w:semiHidden/>
    <w:unhideWhenUsed/>
    <w:rsid w:val="006F7F9B"/>
    <w:rPr>
      <w:color w:val="0000FF"/>
      <w:u w:val="single"/>
    </w:rPr>
  </w:style>
  <w:style w:type="paragraph" w:styleId="Tekstdymka">
    <w:name w:val="Balloon Text"/>
    <w:basedOn w:val="Normalny"/>
    <w:link w:val="TekstdymkaZnak"/>
    <w:uiPriority w:val="99"/>
    <w:semiHidden/>
    <w:unhideWhenUsed/>
    <w:rsid w:val="00C06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3"/>
    <w:rPr>
      <w:rFonts w:ascii="Tahoma" w:hAnsi="Tahoma" w:cs="Tahoma"/>
      <w:sz w:val="16"/>
      <w:szCs w:val="16"/>
    </w:rPr>
  </w:style>
  <w:style w:type="character" w:styleId="Uwydatnienie">
    <w:name w:val="Emphasis"/>
    <w:basedOn w:val="Domylnaczcionkaakapitu"/>
    <w:uiPriority w:val="20"/>
    <w:qFormat/>
    <w:rsid w:val="00B11530"/>
    <w:rPr>
      <w:i/>
      <w:iCs/>
    </w:rPr>
  </w:style>
  <w:style w:type="paragraph" w:styleId="Stopka">
    <w:name w:val="footer"/>
    <w:basedOn w:val="Normalny"/>
    <w:link w:val="StopkaZnak"/>
    <w:rsid w:val="0076283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62839"/>
    <w:rPr>
      <w:rFonts w:ascii="Times New Roman" w:eastAsia="Times New Roman" w:hAnsi="Times New Roman" w:cs="Times New Roman"/>
      <w:sz w:val="24"/>
      <w:szCs w:val="24"/>
      <w:lang w:eastAsia="pl-PL"/>
    </w:rPr>
  </w:style>
  <w:style w:type="character" w:styleId="Numerstrony">
    <w:name w:val="page number"/>
    <w:basedOn w:val="Domylnaczcionkaakapitu"/>
    <w:rsid w:val="00762839"/>
  </w:style>
  <w:style w:type="paragraph" w:styleId="NormalnyWeb">
    <w:name w:val="Normal (Web)"/>
    <w:basedOn w:val="Normalny"/>
    <w:uiPriority w:val="99"/>
    <w:semiHidden/>
    <w:unhideWhenUsed/>
    <w:rsid w:val="00762839"/>
    <w:pPr>
      <w:spacing w:before="100" w:beforeAutospacing="1" w:after="100" w:afterAutospacing="1" w:line="240" w:lineRule="auto"/>
    </w:pPr>
    <w:rPr>
      <w:rFonts w:ascii="Times New Roman" w:hAnsi="Times New Roman" w:cs="Times New Roman"/>
      <w:sz w:val="24"/>
      <w:szCs w:val="24"/>
      <w:lang w:eastAsia="pl-PL"/>
    </w:rPr>
  </w:style>
  <w:style w:type="paragraph" w:customStyle="1" w:styleId="Default">
    <w:name w:val="Default"/>
    <w:rsid w:val="00FB68C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747D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47D0F"/>
  </w:style>
</w:styles>
</file>

<file path=word/webSettings.xml><?xml version="1.0" encoding="utf-8"?>
<w:webSettings xmlns:r="http://schemas.openxmlformats.org/officeDocument/2006/relationships" xmlns:w="http://schemas.openxmlformats.org/wordprocessingml/2006/main">
  <w:divs>
    <w:div w:id="1804493813">
      <w:bodyDiv w:val="1"/>
      <w:marLeft w:val="0"/>
      <w:marRight w:val="0"/>
      <w:marTop w:val="0"/>
      <w:marBottom w:val="0"/>
      <w:divBdr>
        <w:top w:val="none" w:sz="0" w:space="0" w:color="auto"/>
        <w:left w:val="none" w:sz="0" w:space="0" w:color="auto"/>
        <w:bottom w:val="none" w:sz="0" w:space="0" w:color="auto"/>
        <w:right w:val="none" w:sz="0" w:space="0" w:color="auto"/>
      </w:divBdr>
    </w:div>
    <w:div w:id="1919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64C6-AF58-4A5D-9E19-682FBDEE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7585</Words>
  <Characters>45514</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IWP</dc:creator>
  <cp:lastModifiedBy>Sekretariat</cp:lastModifiedBy>
  <cp:revision>2</cp:revision>
  <cp:lastPrinted>2009-06-05T12:46:00Z</cp:lastPrinted>
  <dcterms:created xsi:type="dcterms:W3CDTF">2009-06-05T12:48:00Z</dcterms:created>
  <dcterms:modified xsi:type="dcterms:W3CDTF">2009-06-05T12:48:00Z</dcterms:modified>
</cp:coreProperties>
</file>