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40" w:rsidRPr="0076458B" w:rsidRDefault="003D7840" w:rsidP="00CB4E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/>
        <w:jc w:val="center"/>
        <w:rPr>
          <w:rFonts w:ascii="Arial" w:hAnsi="Arial" w:cs="Arial"/>
          <w:color w:val="000000"/>
          <w:lang w:val="pl-PL"/>
        </w:rPr>
      </w:pPr>
      <w:bookmarkStart w:id="0" w:name="_GoBack"/>
      <w:bookmarkEnd w:id="0"/>
      <w:r w:rsidRPr="0076458B">
        <w:rPr>
          <w:rFonts w:ascii="Arial" w:hAnsi="Arial" w:cs="Arial"/>
          <w:b/>
          <w:color w:val="000000"/>
          <w:sz w:val="28"/>
          <w:szCs w:val="28"/>
          <w:lang w:val="pl-PL"/>
        </w:rPr>
        <w:t>Projekt dyrektywy w sprawie dozwolonych form korzystania z dzieł osieroconych (KOM(2011) 289)</w:t>
      </w:r>
    </w:p>
    <w:p w:rsidR="003D7840" w:rsidRPr="0076458B" w:rsidRDefault="003D7840" w:rsidP="00180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</w:p>
    <w:p w:rsidR="003D7840" w:rsidRPr="0076458B" w:rsidRDefault="003D7840" w:rsidP="00C90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76458B">
        <w:rPr>
          <w:rFonts w:ascii="Arial" w:hAnsi="Arial" w:cs="Arial"/>
          <w:lang w:val="pl-PL"/>
        </w:rPr>
        <w:t>ENPA, Europejskie Stowarzyszenie Wydawców Gazet</w:t>
      </w:r>
      <w:r w:rsidR="0064140E">
        <w:rPr>
          <w:rFonts w:ascii="Arial" w:hAnsi="Arial" w:cs="Arial"/>
          <w:lang w:val="pl-PL"/>
        </w:rPr>
        <w:t>,</w:t>
      </w:r>
      <w:r w:rsidRPr="0076458B">
        <w:rPr>
          <w:rFonts w:ascii="Arial" w:hAnsi="Arial" w:cs="Arial"/>
          <w:lang w:val="pl-PL"/>
        </w:rPr>
        <w:t xml:space="preserve"> oraz FAEP, Europejska Federacja Wydawców Magazynów</w:t>
      </w:r>
      <w:r w:rsidR="0064140E">
        <w:rPr>
          <w:rFonts w:ascii="Arial" w:hAnsi="Arial" w:cs="Arial"/>
          <w:lang w:val="pl-PL"/>
        </w:rPr>
        <w:t>,</w:t>
      </w:r>
      <w:r w:rsidRPr="0076458B">
        <w:rPr>
          <w:rFonts w:ascii="Arial" w:hAnsi="Arial" w:cs="Arial"/>
          <w:lang w:val="pl-PL"/>
        </w:rPr>
        <w:t xml:space="preserve"> zwracają się do Państwa w imieniu europejskich wydawców gazet i magazynów w celu zwrócenia uwagi na niepokojące nas sprawy dotyczące przygotowanego przez Komisję Europejską projektu dyrektywy w sprawie dozwolonych form korzystania z dzieł osieroconych („Projekt’)</w:t>
      </w:r>
    </w:p>
    <w:p w:rsidR="003D7840" w:rsidRPr="0076458B" w:rsidRDefault="003D7840" w:rsidP="00C90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D7840" w:rsidRPr="0076458B" w:rsidRDefault="003D7840" w:rsidP="00C90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76458B">
        <w:rPr>
          <w:rFonts w:ascii="Arial" w:hAnsi="Arial" w:cs="Arial"/>
          <w:lang w:val="pl-PL"/>
        </w:rPr>
        <w:t xml:space="preserve">Profesjonalne treści wytwarzane przez wydawców gazet i magazynów, a także informowanie o wszystkich ważnych dla społeczeństwa sprawach stanowi ważny element w kształtowaniu opinii publicznej, co ma podstawowe znaczenie dla demokracji. Stworzenie wartościowych, profesjonalnych treści wymaga znaczących nakładów finansowych, a więc </w:t>
      </w:r>
      <w:r w:rsidRPr="0076458B">
        <w:rPr>
          <w:rFonts w:ascii="Arial" w:hAnsi="Arial" w:cs="Arial"/>
          <w:b/>
          <w:lang w:val="pl-PL"/>
        </w:rPr>
        <w:t xml:space="preserve">skuteczna ochrona praw autorskich to klucz do bezpieczeństwa wysokich jakościowo i zróżnicowanych mediów, </w:t>
      </w:r>
      <w:r w:rsidRPr="0076458B">
        <w:rPr>
          <w:rFonts w:ascii="Arial" w:hAnsi="Arial" w:cs="Arial"/>
          <w:lang w:val="pl-PL"/>
        </w:rPr>
        <w:t>których potrzebuje każda demokracja.</w:t>
      </w:r>
    </w:p>
    <w:p w:rsidR="003D7840" w:rsidRPr="0076458B" w:rsidRDefault="003D7840" w:rsidP="00C90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D7840" w:rsidRPr="0076458B" w:rsidRDefault="003D7840" w:rsidP="00C90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76458B">
        <w:rPr>
          <w:rFonts w:ascii="Arial" w:hAnsi="Arial" w:cs="Arial"/>
          <w:b/>
          <w:lang w:val="pl-PL"/>
        </w:rPr>
        <w:t>Popierając cel UE</w:t>
      </w:r>
      <w:r w:rsidR="0064140E">
        <w:rPr>
          <w:rFonts w:ascii="Arial" w:hAnsi="Arial" w:cs="Arial"/>
          <w:b/>
          <w:lang w:val="pl-PL"/>
        </w:rPr>
        <w:t>,</w:t>
      </w:r>
      <w:r w:rsidRPr="0076458B">
        <w:rPr>
          <w:rFonts w:ascii="Arial" w:hAnsi="Arial" w:cs="Arial"/>
          <w:b/>
          <w:lang w:val="pl-PL"/>
        </w:rPr>
        <w:t xml:space="preserve"> polegający na wspieraniu digitalizacji utworów kulturalnych i naukowych </w:t>
      </w:r>
      <w:r w:rsidRPr="0076458B">
        <w:rPr>
          <w:rFonts w:ascii="Arial" w:hAnsi="Arial" w:cs="Arial"/>
          <w:lang w:val="pl-PL"/>
        </w:rPr>
        <w:t xml:space="preserve">w celu zachowania europejskiego dziedzictwa, wydawcy uważają, iż jest rzeczą podstawową, by posiadacze praw mieli zawsze możliwość decydowania o tym, czy udzielić zgody na wykorzystanie ich dzieła oraz by mieli możliwość otrzymywania rekompensaty za wykorzystanie ich utworów. </w:t>
      </w:r>
    </w:p>
    <w:p w:rsidR="003D7840" w:rsidRPr="0076458B" w:rsidRDefault="003D7840" w:rsidP="00C90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D7840" w:rsidRPr="0076458B" w:rsidRDefault="003D7840" w:rsidP="00C90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76458B">
        <w:rPr>
          <w:rFonts w:ascii="Arial" w:hAnsi="Arial" w:cs="Arial"/>
          <w:lang w:val="pl-PL"/>
        </w:rPr>
        <w:t>Ważne jest, aby w Projekcie uwzględniono specyfikę różnych sektorów, których Projekt dotyczy</w:t>
      </w:r>
      <w:r w:rsidR="0064140E">
        <w:rPr>
          <w:rFonts w:ascii="Arial" w:hAnsi="Arial" w:cs="Arial"/>
          <w:lang w:val="pl-PL"/>
        </w:rPr>
        <w:t>,</w:t>
      </w:r>
      <w:r w:rsidRPr="0076458B">
        <w:rPr>
          <w:rFonts w:ascii="Arial" w:hAnsi="Arial" w:cs="Arial"/>
          <w:lang w:val="pl-PL"/>
        </w:rPr>
        <w:t xml:space="preserve"> oraz zadbano o to, by udostępnianie dzieł osieroconych </w:t>
      </w:r>
      <w:r w:rsidRPr="0076458B">
        <w:rPr>
          <w:rFonts w:ascii="Arial" w:hAnsi="Arial" w:cs="Arial"/>
          <w:b/>
          <w:lang w:val="pl-PL"/>
        </w:rPr>
        <w:t xml:space="preserve">nigdy nie stało w sprzeczności z komercyjnymi ofertami wydawców ani ofertom takim nie zagrażało </w:t>
      </w:r>
      <w:r w:rsidRPr="0076458B">
        <w:rPr>
          <w:rFonts w:ascii="Arial" w:hAnsi="Arial" w:cs="Arial"/>
          <w:lang w:val="pl-PL"/>
        </w:rPr>
        <w:t>podobnie jak aktualnym i przyszłym modelom biznesowym.</w:t>
      </w:r>
    </w:p>
    <w:p w:rsidR="003D7840" w:rsidRPr="0076458B" w:rsidRDefault="003D7840" w:rsidP="00C90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D7840" w:rsidRPr="0076458B" w:rsidRDefault="003D7840" w:rsidP="00D27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76458B">
        <w:rPr>
          <w:rFonts w:ascii="Arial" w:hAnsi="Arial" w:cs="Arial"/>
          <w:lang w:val="pl-PL"/>
        </w:rPr>
        <w:t xml:space="preserve">Dlatego Projekt </w:t>
      </w:r>
      <w:r w:rsidRPr="0076458B">
        <w:rPr>
          <w:rFonts w:ascii="Arial" w:hAnsi="Arial" w:cs="Arial"/>
          <w:b/>
          <w:lang w:val="pl-PL"/>
        </w:rPr>
        <w:t xml:space="preserve">wymaga doprecyzowania </w:t>
      </w:r>
      <w:r w:rsidRPr="0076458B">
        <w:rPr>
          <w:rFonts w:ascii="Arial" w:hAnsi="Arial" w:cs="Arial"/>
          <w:lang w:val="pl-PL"/>
        </w:rPr>
        <w:t>w kilku obszarach, aby nie dopuścić do kopiowania i udostępniania – pod kątem zysków komercyjnych – dzieł będących własnością wydawców bez ich wiedzy, gdyż byłoby to szkodliwe dla ich interesów.</w:t>
      </w:r>
    </w:p>
    <w:p w:rsidR="003D7840" w:rsidRPr="0076458B" w:rsidRDefault="003D7840" w:rsidP="00D27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D7840" w:rsidRPr="0076458B" w:rsidRDefault="003D7840" w:rsidP="00C8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Arial" w:hAnsi="Arial" w:cs="Arial"/>
          <w:b/>
          <w:u w:val="single"/>
          <w:lang w:val="pl-PL"/>
        </w:rPr>
      </w:pPr>
    </w:p>
    <w:p w:rsidR="003D7840" w:rsidRPr="0076458B" w:rsidRDefault="003D7840" w:rsidP="00C8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Arial" w:hAnsi="Arial" w:cs="Arial"/>
          <w:b/>
          <w:u w:val="single"/>
          <w:lang w:val="pl-PL"/>
        </w:rPr>
      </w:pPr>
      <w:r w:rsidRPr="0076458B">
        <w:rPr>
          <w:rFonts w:ascii="Arial" w:hAnsi="Arial" w:cs="Arial"/>
          <w:b/>
          <w:u w:val="single"/>
          <w:lang w:val="pl-PL"/>
        </w:rPr>
        <w:t>Przegląd kluczowych rekomendacji</w:t>
      </w:r>
    </w:p>
    <w:p w:rsidR="003D7840" w:rsidRPr="0076458B" w:rsidRDefault="003D7840" w:rsidP="00C8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Arial" w:hAnsi="Arial" w:cs="Arial"/>
          <w:b/>
          <w:u w:val="single"/>
          <w:lang w:val="pl-PL"/>
        </w:rPr>
      </w:pPr>
    </w:p>
    <w:p w:rsidR="003D7840" w:rsidRPr="0076458B" w:rsidRDefault="003D7840" w:rsidP="00C87691">
      <w:pPr>
        <w:pStyle w:val="Akapitzlist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120"/>
        <w:ind w:left="357" w:hanging="357"/>
        <w:rPr>
          <w:rFonts w:ascii="Arial" w:hAnsi="Arial" w:cs="Arial"/>
          <w:b/>
          <w:lang w:val="pl-PL"/>
        </w:rPr>
      </w:pPr>
      <w:r w:rsidRPr="0076458B">
        <w:rPr>
          <w:rFonts w:ascii="Arial" w:hAnsi="Arial" w:cs="Arial"/>
          <w:b/>
          <w:lang w:val="pl-PL"/>
        </w:rPr>
        <w:t xml:space="preserve">Zakres dyrektywy powinien dotyczyć dzieł osieroconych (a nie utworów, których autor jest znany) </w:t>
      </w:r>
    </w:p>
    <w:p w:rsidR="003D7840" w:rsidRPr="0076458B" w:rsidRDefault="003D7840" w:rsidP="00C87691">
      <w:pPr>
        <w:pStyle w:val="Akapitzlist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120" w:after="120"/>
        <w:ind w:left="357" w:hanging="357"/>
        <w:rPr>
          <w:rFonts w:ascii="Arial" w:hAnsi="Arial" w:cs="Arial"/>
          <w:b/>
          <w:lang w:val="pl-PL"/>
        </w:rPr>
      </w:pPr>
      <w:r w:rsidRPr="0076458B">
        <w:rPr>
          <w:rFonts w:ascii="Arial" w:hAnsi="Arial" w:cs="Arial"/>
          <w:b/>
          <w:lang w:val="pl-PL"/>
        </w:rPr>
        <w:t>Należy doprecyzować pojęcie „starannego poszukiwania”, aby poszukiwania miały substancjonalny charakter</w:t>
      </w:r>
    </w:p>
    <w:p w:rsidR="003D7840" w:rsidRPr="0076458B" w:rsidRDefault="003D7840" w:rsidP="003D002D">
      <w:pPr>
        <w:pStyle w:val="Akapitzlist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120" w:after="120"/>
        <w:ind w:left="357" w:hanging="357"/>
        <w:rPr>
          <w:rFonts w:ascii="Arial" w:hAnsi="Arial" w:cs="Arial"/>
          <w:b/>
          <w:lang w:val="pl-PL"/>
        </w:rPr>
      </w:pPr>
      <w:r w:rsidRPr="0076458B">
        <w:rPr>
          <w:rFonts w:ascii="Arial" w:hAnsi="Arial" w:cs="Arial"/>
          <w:b/>
          <w:lang w:val="pl-PL"/>
        </w:rPr>
        <w:t xml:space="preserve">Korzystanie z dzieł osieroconych opisane w dyrektywie powinno być ograniczone do niewielu przypadków ich wykorzystania </w:t>
      </w:r>
      <w:r w:rsidR="0064140E">
        <w:rPr>
          <w:rFonts w:ascii="Arial" w:hAnsi="Arial" w:cs="Arial"/>
          <w:b/>
          <w:lang w:val="pl-PL"/>
        </w:rPr>
        <w:t>do</w:t>
      </w:r>
      <w:r w:rsidR="0064140E" w:rsidRPr="0076458B">
        <w:rPr>
          <w:rFonts w:ascii="Arial" w:hAnsi="Arial" w:cs="Arial"/>
          <w:b/>
          <w:lang w:val="pl-PL"/>
        </w:rPr>
        <w:t xml:space="preserve"> </w:t>
      </w:r>
      <w:r w:rsidRPr="0076458B">
        <w:rPr>
          <w:rFonts w:ascii="Arial" w:hAnsi="Arial" w:cs="Arial"/>
          <w:b/>
          <w:lang w:val="pl-PL"/>
        </w:rPr>
        <w:t>celów niekomercyjnych przez instytucje użyteczności publicznej</w:t>
      </w:r>
    </w:p>
    <w:p w:rsidR="003D7840" w:rsidRPr="0076458B" w:rsidRDefault="003D7840" w:rsidP="00C87691">
      <w:pPr>
        <w:pStyle w:val="Akapitzlist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120" w:after="120"/>
        <w:ind w:left="357" w:hanging="357"/>
        <w:rPr>
          <w:rFonts w:ascii="Arial" w:hAnsi="Arial" w:cs="Arial"/>
          <w:b/>
          <w:lang w:val="pl-PL"/>
        </w:rPr>
      </w:pPr>
      <w:r w:rsidRPr="0076458B">
        <w:rPr>
          <w:rFonts w:ascii="Arial" w:hAnsi="Arial" w:cs="Arial"/>
          <w:b/>
          <w:lang w:val="pl-PL"/>
        </w:rPr>
        <w:t xml:space="preserve">Podmioty korzystające z dzieł osieroconych powinny – dla pewności prawnej – posiadać koncesję na takie działania oraz </w:t>
      </w:r>
      <w:r w:rsidR="008343A5">
        <w:rPr>
          <w:rFonts w:ascii="Arial" w:hAnsi="Arial" w:cs="Arial"/>
          <w:b/>
          <w:lang w:val="pl-PL"/>
        </w:rPr>
        <w:t xml:space="preserve">płacić </w:t>
      </w:r>
      <w:r w:rsidRPr="0076458B">
        <w:rPr>
          <w:rFonts w:ascii="Arial" w:hAnsi="Arial" w:cs="Arial"/>
          <w:b/>
          <w:lang w:val="pl-PL"/>
        </w:rPr>
        <w:t>za korzystanie z tych utworów rekompensatę finansową w państwie członkowskim, w których doszło do pierwszej publikacji</w:t>
      </w:r>
    </w:p>
    <w:p w:rsidR="003D7840" w:rsidRPr="0076458B" w:rsidRDefault="003D7840" w:rsidP="00C87691">
      <w:pPr>
        <w:pStyle w:val="Akapitzlist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before="120" w:after="120"/>
        <w:ind w:left="357" w:hanging="357"/>
        <w:rPr>
          <w:rFonts w:ascii="Arial" w:hAnsi="Arial" w:cs="Arial"/>
          <w:b/>
          <w:lang w:val="pl-PL"/>
        </w:rPr>
      </w:pPr>
      <w:r w:rsidRPr="0076458B">
        <w:rPr>
          <w:rFonts w:ascii="Arial" w:hAnsi="Arial" w:cs="Arial"/>
          <w:b/>
          <w:lang w:val="pl-PL"/>
        </w:rPr>
        <w:t>Należy utrzymać zapisane w Projekcie stanowisko względem rozszerzonej licencji (ECL)</w:t>
      </w:r>
    </w:p>
    <w:p w:rsidR="003D7840" w:rsidRPr="0076458B" w:rsidRDefault="003D7840" w:rsidP="00C90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Arial" w:hAnsi="Arial" w:cs="Arial"/>
          <w:lang w:val="pl-PL"/>
        </w:rPr>
      </w:pPr>
    </w:p>
    <w:p w:rsidR="003D7840" w:rsidRPr="0076458B" w:rsidRDefault="003D7840" w:rsidP="00D90EEF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b/>
          <w:lang w:val="pl-PL"/>
        </w:rPr>
      </w:pPr>
      <w:r w:rsidRPr="0076458B">
        <w:rPr>
          <w:rFonts w:ascii="Arial" w:hAnsi="Arial" w:cs="Arial"/>
          <w:b/>
          <w:lang w:val="pl-PL"/>
        </w:rPr>
        <w:lastRenderedPageBreak/>
        <w:t xml:space="preserve">Projekt powinien skupiać się wyłącznie na kwestii starannie przeprowadzonego procesu ustalania, czy dane dzieło jest </w:t>
      </w:r>
      <w:r w:rsidRPr="0076458B">
        <w:rPr>
          <w:rFonts w:ascii="Arial" w:hAnsi="Arial" w:cs="Arial"/>
          <w:b/>
          <w:u w:val="single"/>
          <w:lang w:val="pl-PL"/>
        </w:rPr>
        <w:t>dziełem osieroconym</w:t>
      </w:r>
      <w:r w:rsidRPr="0076458B">
        <w:rPr>
          <w:rFonts w:ascii="Arial" w:hAnsi="Arial" w:cs="Arial"/>
          <w:b/>
          <w:lang w:val="pl-PL"/>
        </w:rPr>
        <w:t xml:space="preserve"> zgodnie z zapisami dyrektywy </w:t>
      </w:r>
    </w:p>
    <w:p w:rsidR="003D7840" w:rsidRPr="0076458B" w:rsidRDefault="003D7840" w:rsidP="00747C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l-PL"/>
        </w:rPr>
      </w:pPr>
      <w:r w:rsidRPr="0076458B">
        <w:rPr>
          <w:rFonts w:ascii="Arial" w:hAnsi="Arial" w:cs="Arial"/>
          <w:b/>
          <w:lang w:val="pl-PL"/>
        </w:rPr>
        <w:t xml:space="preserve"> </w:t>
      </w:r>
    </w:p>
    <w:p w:rsidR="003D7840" w:rsidRPr="0076458B" w:rsidRDefault="003D7840" w:rsidP="00747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76458B">
        <w:rPr>
          <w:rFonts w:ascii="Arial" w:hAnsi="Arial" w:cs="Arial"/>
          <w:lang w:val="pl-PL"/>
        </w:rPr>
        <w:t xml:space="preserve">Uważamy, że szkodliwe byłoby poszerzenie zakresu Projektu na inne dzieła, których autorzy są znani jak ma to miejsce w przypadku „dzieł, które wyszły z obiegu”. Ma to szczególne znaczenie dla wydawców gazet i magazynów ze względu na wysoką wartość komercyjną ich archiwów (używanych, na przykład, jako element modeli subskrypcyjnych), których nigdy nie można uznać za materiały, które wyszły z obiegu. </w:t>
      </w:r>
    </w:p>
    <w:p w:rsidR="003D7840" w:rsidRPr="0076458B" w:rsidRDefault="003D7840" w:rsidP="00747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D7840" w:rsidRPr="0076458B" w:rsidRDefault="003D7840" w:rsidP="00747CED">
      <w:pPr>
        <w:pStyle w:val="Default"/>
        <w:shd w:val="clear" w:color="auto" w:fill="C6D9F1"/>
        <w:jc w:val="both"/>
        <w:rPr>
          <w:rFonts w:ascii="Arial" w:hAnsi="Arial" w:cs="Arial"/>
          <w:b/>
          <w:i/>
          <w:color w:val="auto"/>
          <w:sz w:val="22"/>
          <w:szCs w:val="22"/>
          <w:lang w:val="pl-PL"/>
        </w:rPr>
      </w:pPr>
      <w:r w:rsidRPr="0076458B">
        <w:rPr>
          <w:rFonts w:ascii="Arial" w:hAnsi="Arial" w:cs="Arial"/>
          <w:b/>
          <w:i/>
          <w:color w:val="auto"/>
          <w:sz w:val="22"/>
          <w:szCs w:val="22"/>
          <w:u w:val="single"/>
          <w:lang w:val="pl-PL"/>
        </w:rPr>
        <w:t>Rekomendacja</w:t>
      </w:r>
      <w:r w:rsidRPr="0076458B">
        <w:rPr>
          <w:rFonts w:ascii="Arial" w:hAnsi="Arial" w:cs="Arial"/>
          <w:b/>
          <w:i/>
          <w:color w:val="auto"/>
          <w:sz w:val="22"/>
          <w:szCs w:val="22"/>
          <w:lang w:val="pl-PL"/>
        </w:rPr>
        <w:t xml:space="preserve">: </w:t>
      </w:r>
    </w:p>
    <w:p w:rsidR="003D7840" w:rsidRPr="0076458B" w:rsidRDefault="003D7840" w:rsidP="00747CED">
      <w:pPr>
        <w:pStyle w:val="Default"/>
        <w:numPr>
          <w:ilvl w:val="0"/>
          <w:numId w:val="32"/>
        </w:numPr>
        <w:shd w:val="clear" w:color="auto" w:fill="C6D9F1"/>
        <w:jc w:val="both"/>
        <w:rPr>
          <w:rFonts w:ascii="Arial" w:hAnsi="Arial" w:cs="Arial"/>
          <w:b/>
          <w:i/>
          <w:color w:val="auto"/>
          <w:sz w:val="22"/>
          <w:szCs w:val="22"/>
          <w:lang w:val="pl-PL"/>
        </w:rPr>
      </w:pPr>
      <w:r w:rsidRPr="0076458B">
        <w:rPr>
          <w:rFonts w:ascii="Arial" w:hAnsi="Arial" w:cs="Arial"/>
          <w:b/>
          <w:i/>
          <w:color w:val="auto"/>
          <w:sz w:val="22"/>
          <w:szCs w:val="22"/>
          <w:lang w:val="pl-PL"/>
        </w:rPr>
        <w:t>Utrzymać zakres dyrektywy tak, aby dotyczyła ona dzieł osieroconych. </w:t>
      </w:r>
    </w:p>
    <w:p w:rsidR="003D7840" w:rsidRPr="0076458B" w:rsidRDefault="003D7840" w:rsidP="00747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D7840" w:rsidRPr="0076458B" w:rsidRDefault="003D7840" w:rsidP="00747C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D7840" w:rsidRPr="0076458B" w:rsidRDefault="003D7840" w:rsidP="00FA7452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b/>
          <w:lang w:val="pl-PL"/>
        </w:rPr>
      </w:pPr>
      <w:r w:rsidRPr="0076458B">
        <w:rPr>
          <w:rFonts w:ascii="Arial" w:hAnsi="Arial" w:cs="Arial"/>
          <w:b/>
          <w:lang w:val="pl-PL"/>
        </w:rPr>
        <w:t>Doprecyzowanie pojęcia „staranne poszukiwania”, aby miało ono naprawdę substancjonalną treść</w:t>
      </w:r>
    </w:p>
    <w:p w:rsidR="003D7840" w:rsidRPr="0076458B" w:rsidRDefault="003D7840" w:rsidP="002348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8343A5" w:rsidRDefault="003D7840" w:rsidP="005074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76458B">
        <w:rPr>
          <w:rFonts w:ascii="Arial" w:hAnsi="Arial" w:cs="Arial"/>
          <w:lang w:val="pl-PL"/>
        </w:rPr>
        <w:t xml:space="preserve">Rzeczą kluczową jest przeprowadzenie </w:t>
      </w:r>
      <w:r w:rsidRPr="0076458B">
        <w:rPr>
          <w:rFonts w:ascii="Arial" w:hAnsi="Arial" w:cs="Arial"/>
          <w:u w:val="single"/>
          <w:lang w:val="pl-PL"/>
        </w:rPr>
        <w:t>konkretnego,</w:t>
      </w:r>
      <w:r w:rsidRPr="0076458B">
        <w:rPr>
          <w:rFonts w:ascii="Arial" w:hAnsi="Arial" w:cs="Arial"/>
          <w:lang w:val="pl-PL"/>
        </w:rPr>
        <w:t xml:space="preserve"> starannego poszukiwania podmiotu praw autorskich</w:t>
      </w:r>
      <w:r w:rsidR="0064140E">
        <w:rPr>
          <w:rFonts w:ascii="Arial" w:hAnsi="Arial" w:cs="Arial"/>
          <w:lang w:val="pl-PL"/>
        </w:rPr>
        <w:t>,</w:t>
      </w:r>
      <w:r w:rsidRPr="0076458B">
        <w:rPr>
          <w:rFonts w:ascii="Arial" w:hAnsi="Arial" w:cs="Arial"/>
          <w:lang w:val="pl-PL"/>
        </w:rPr>
        <w:t xml:space="preserve"> tak aby podmioty praw do utworów, które nie są w istocie osierocone</w:t>
      </w:r>
      <w:r w:rsidR="0064140E">
        <w:rPr>
          <w:rFonts w:ascii="Arial" w:hAnsi="Arial" w:cs="Arial"/>
          <w:lang w:val="pl-PL"/>
        </w:rPr>
        <w:t>,</w:t>
      </w:r>
      <w:r w:rsidRPr="0076458B">
        <w:rPr>
          <w:rFonts w:ascii="Arial" w:hAnsi="Arial" w:cs="Arial"/>
          <w:lang w:val="pl-PL"/>
        </w:rPr>
        <w:t xml:space="preserve"> mogły decydować o tym, jak inni mogą korzystać z ich zasobów</w:t>
      </w:r>
      <w:r>
        <w:rPr>
          <w:rFonts w:ascii="Arial" w:hAnsi="Arial" w:cs="Arial"/>
          <w:lang w:val="pl-PL"/>
        </w:rPr>
        <w:t>.</w:t>
      </w:r>
      <w:r w:rsidRPr="0076458B">
        <w:rPr>
          <w:rFonts w:ascii="Arial" w:hAnsi="Arial" w:cs="Arial"/>
          <w:lang w:val="pl-PL"/>
        </w:rPr>
        <w:t xml:space="preserve"> Uważamy, że aktualny tekst mógłby być bardziej precyzyjny jeśli chodzi o to, które źródła powinny być konsultowane w ramach starannego wyszukiwania i co należy zrobić w sytuacji, gdy nie jest jasne jaki był kraj pierwszej publikacji dzieła. </w:t>
      </w:r>
    </w:p>
    <w:p w:rsidR="008343A5" w:rsidRDefault="008343A5" w:rsidP="005074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Szczególnie ważne jest, aby generalnie wydawcy – i nie tylko stowarzyszenia wydawców (jak w Aneksie do Propozycji) – byli objęci starannym wyszukiwanie</w:t>
      </w:r>
      <w:r w:rsidR="00313959">
        <w:rPr>
          <w:rFonts w:ascii="Arial" w:hAnsi="Arial" w:cs="Arial"/>
          <w:lang w:val="pl-PL"/>
        </w:rPr>
        <w:t>m</w:t>
      </w:r>
      <w:r>
        <w:rPr>
          <w:rFonts w:ascii="Arial" w:hAnsi="Arial" w:cs="Arial"/>
          <w:lang w:val="pl-PL"/>
        </w:rPr>
        <w:t xml:space="preserve">. Na przykład, wydawcy mogą być jedyną stroną </w:t>
      </w:r>
      <w:r w:rsidR="001C31A1">
        <w:rPr>
          <w:rFonts w:ascii="Arial" w:hAnsi="Arial" w:cs="Arial"/>
          <w:lang w:val="pl-PL"/>
        </w:rPr>
        <w:t>posiadającą</w:t>
      </w:r>
      <w:r w:rsidR="00F44336">
        <w:rPr>
          <w:rFonts w:ascii="Arial" w:hAnsi="Arial" w:cs="Arial"/>
          <w:lang w:val="pl-PL"/>
        </w:rPr>
        <w:t>*</w:t>
      </w:r>
      <w:r>
        <w:rPr>
          <w:rFonts w:ascii="Arial" w:hAnsi="Arial" w:cs="Arial"/>
          <w:lang w:val="pl-PL"/>
        </w:rPr>
        <w:t xml:space="preserve"> informacje w zakresie utworów </w:t>
      </w:r>
      <w:proofErr w:type="spellStart"/>
      <w:r>
        <w:rPr>
          <w:rFonts w:ascii="Arial" w:hAnsi="Arial" w:cs="Arial"/>
          <w:lang w:val="pl-PL"/>
        </w:rPr>
        <w:t>pseudonimowych</w:t>
      </w:r>
      <w:proofErr w:type="spellEnd"/>
      <w:r>
        <w:rPr>
          <w:rFonts w:ascii="Arial" w:hAnsi="Arial" w:cs="Arial"/>
          <w:lang w:val="pl-PL"/>
        </w:rPr>
        <w:t xml:space="preserve">, lub anonimowych, takich jak niepodpisane </w:t>
      </w:r>
      <w:proofErr w:type="spellStart"/>
      <w:r>
        <w:rPr>
          <w:rFonts w:ascii="Arial" w:hAnsi="Arial" w:cs="Arial"/>
          <w:lang w:val="pl-PL"/>
        </w:rPr>
        <w:t>edytoriale</w:t>
      </w:r>
      <w:proofErr w:type="spellEnd"/>
      <w:r>
        <w:rPr>
          <w:rFonts w:ascii="Arial" w:hAnsi="Arial" w:cs="Arial"/>
          <w:lang w:val="pl-PL"/>
        </w:rPr>
        <w:t xml:space="preserve"> przedstawiające opinie czasopisma, albo gdzie autor zatrzymał swoje prawa ale nie chce, by go zidentyfikowano. Stowarzyszenia wydawców nie miałyby takich informacji.</w:t>
      </w:r>
    </w:p>
    <w:p w:rsidR="003D7840" w:rsidRPr="0076458B" w:rsidRDefault="008343A5" w:rsidP="005074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Ponadto, o</w:t>
      </w:r>
      <w:r w:rsidR="003D7840" w:rsidRPr="0076458B">
        <w:rPr>
          <w:rFonts w:ascii="Arial" w:hAnsi="Arial" w:cs="Arial"/>
          <w:lang w:val="pl-PL"/>
        </w:rPr>
        <w:t xml:space="preserve"> ile poszukiwanie powinno być prowadzone w sposób „racjonalny” i „w dobrej wierze” (Ustęp 12), bardziej precyzyjnym rozwiązaniem byłoby określenie, iż poszukiwanie to nie powinno być ograniczone wyłącznie do jednego kraju, w przypadkach gdy istnieją uzasadnione wątpliwości, co do miejsca pierwszej publikacji.</w:t>
      </w:r>
      <w:r w:rsidR="003D7840">
        <w:rPr>
          <w:rFonts w:ascii="Arial" w:hAnsi="Arial" w:cs="Arial"/>
          <w:lang w:val="pl-PL"/>
        </w:rPr>
        <w:br/>
      </w:r>
      <w:r w:rsidR="003D7840">
        <w:rPr>
          <w:rFonts w:ascii="Arial" w:hAnsi="Arial" w:cs="Arial"/>
          <w:lang w:val="pl-PL"/>
        </w:rPr>
        <w:br/>
        <w:t xml:space="preserve">Istnieje ryzyko, że bez niewystarczająco dokładnego poszukiwania, treść należąca do wydawców mogłaby </w:t>
      </w:r>
      <w:r w:rsidR="0064140E">
        <w:rPr>
          <w:rFonts w:ascii="Arial" w:hAnsi="Arial" w:cs="Arial"/>
          <w:lang w:val="pl-PL"/>
        </w:rPr>
        <w:t>zostać</w:t>
      </w:r>
      <w:r w:rsidR="003D7840">
        <w:rPr>
          <w:rFonts w:ascii="Arial" w:hAnsi="Arial" w:cs="Arial"/>
          <w:lang w:val="pl-PL"/>
        </w:rPr>
        <w:t xml:space="preserve"> uznana za </w:t>
      </w:r>
      <w:r w:rsidR="0064140E">
        <w:rPr>
          <w:rFonts w:ascii="Arial" w:hAnsi="Arial" w:cs="Arial"/>
          <w:lang w:val="pl-PL"/>
        </w:rPr>
        <w:t>„</w:t>
      </w:r>
      <w:r w:rsidR="003D7840">
        <w:rPr>
          <w:rFonts w:ascii="Arial" w:hAnsi="Arial" w:cs="Arial"/>
          <w:lang w:val="pl-PL"/>
        </w:rPr>
        <w:t>sierotę</w:t>
      </w:r>
      <w:r w:rsidR="0064140E">
        <w:rPr>
          <w:rFonts w:ascii="Arial" w:hAnsi="Arial" w:cs="Arial"/>
          <w:lang w:val="pl-PL"/>
        </w:rPr>
        <w:t>”</w:t>
      </w:r>
      <w:r w:rsidR="003D7840">
        <w:rPr>
          <w:rFonts w:ascii="Arial" w:hAnsi="Arial" w:cs="Arial"/>
          <w:lang w:val="pl-PL"/>
        </w:rPr>
        <w:t xml:space="preserve"> i udostępniania na bezpośredni użytek komercyjny (np. w organizacjach objętych dyrektywą po uiszczeniu opłaty za wykorzystanie treści); albo też na niebezpośredni użytek komercyjny poprzez reklamy.</w:t>
      </w:r>
    </w:p>
    <w:p w:rsidR="003D7840" w:rsidRPr="0076458B" w:rsidRDefault="003D7840" w:rsidP="002348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76458B">
        <w:rPr>
          <w:rFonts w:ascii="Arial" w:hAnsi="Arial" w:cs="Arial"/>
          <w:lang w:val="pl-PL"/>
        </w:rPr>
        <w:t xml:space="preserve"> </w:t>
      </w:r>
    </w:p>
    <w:p w:rsidR="003D7840" w:rsidRPr="0076458B" w:rsidRDefault="003D7840" w:rsidP="005F6DAB">
      <w:pPr>
        <w:pStyle w:val="Default"/>
        <w:shd w:val="clear" w:color="auto" w:fill="C6D9F1"/>
        <w:jc w:val="both"/>
        <w:rPr>
          <w:rFonts w:ascii="Arial" w:hAnsi="Arial" w:cs="Arial"/>
          <w:b/>
          <w:i/>
          <w:color w:val="auto"/>
          <w:sz w:val="22"/>
          <w:szCs w:val="22"/>
          <w:lang w:val="pl-PL"/>
        </w:rPr>
      </w:pPr>
      <w:r w:rsidRPr="0076458B">
        <w:rPr>
          <w:rFonts w:ascii="Arial" w:hAnsi="Arial" w:cs="Arial"/>
          <w:b/>
          <w:i/>
          <w:color w:val="auto"/>
          <w:sz w:val="22"/>
          <w:szCs w:val="22"/>
          <w:u w:val="single"/>
          <w:lang w:val="pl-PL"/>
        </w:rPr>
        <w:t>Rekomendacja</w:t>
      </w:r>
      <w:r w:rsidRPr="0076458B">
        <w:rPr>
          <w:rFonts w:ascii="Arial" w:hAnsi="Arial" w:cs="Arial"/>
          <w:b/>
          <w:i/>
          <w:color w:val="auto"/>
          <w:sz w:val="22"/>
          <w:szCs w:val="22"/>
          <w:lang w:val="pl-PL"/>
        </w:rPr>
        <w:t xml:space="preserve">: </w:t>
      </w:r>
    </w:p>
    <w:p w:rsidR="003D7840" w:rsidRPr="0076458B" w:rsidRDefault="003D7840" w:rsidP="00507480">
      <w:pPr>
        <w:pStyle w:val="Default"/>
        <w:numPr>
          <w:ilvl w:val="0"/>
          <w:numId w:val="32"/>
        </w:numPr>
        <w:shd w:val="clear" w:color="auto" w:fill="C6D9F1"/>
        <w:jc w:val="both"/>
        <w:rPr>
          <w:rFonts w:ascii="Arial" w:hAnsi="Arial" w:cs="Arial"/>
          <w:b/>
          <w:i/>
          <w:color w:val="auto"/>
          <w:sz w:val="22"/>
          <w:szCs w:val="22"/>
          <w:lang w:val="pl-PL"/>
        </w:rPr>
      </w:pPr>
      <w:r w:rsidRPr="0076458B">
        <w:rPr>
          <w:rFonts w:ascii="Arial" w:hAnsi="Arial" w:cs="Arial"/>
          <w:b/>
          <w:i/>
          <w:color w:val="auto"/>
          <w:sz w:val="22"/>
          <w:szCs w:val="22"/>
          <w:lang w:val="pl-PL"/>
        </w:rPr>
        <w:t xml:space="preserve">W Artykule 3(2) należałoby jednoznacznie stwierdzić, że należy odwołać się do </w:t>
      </w:r>
      <w:r w:rsidRPr="0076458B">
        <w:rPr>
          <w:rFonts w:ascii="Arial" w:hAnsi="Arial" w:cs="Arial"/>
          <w:b/>
          <w:i/>
          <w:color w:val="auto"/>
          <w:sz w:val="22"/>
          <w:szCs w:val="22"/>
          <w:u w:val="single"/>
          <w:lang w:val="pl-PL"/>
        </w:rPr>
        <w:t>wszystkich</w:t>
      </w:r>
      <w:r w:rsidRPr="0076458B">
        <w:rPr>
          <w:rFonts w:ascii="Arial" w:hAnsi="Arial" w:cs="Arial"/>
          <w:b/>
          <w:i/>
          <w:color w:val="auto"/>
          <w:sz w:val="22"/>
          <w:szCs w:val="22"/>
          <w:lang w:val="pl-PL"/>
        </w:rPr>
        <w:t xml:space="preserve"> źródeł wymienionych w Z</w:t>
      </w:r>
      <w:r>
        <w:rPr>
          <w:rFonts w:ascii="Arial" w:hAnsi="Arial" w:cs="Arial"/>
          <w:b/>
          <w:i/>
          <w:color w:val="auto"/>
          <w:sz w:val="22"/>
          <w:szCs w:val="22"/>
          <w:lang w:val="pl-PL"/>
        </w:rPr>
        <w:t>ałączniku, jako do podstawowych</w:t>
      </w:r>
      <w:r w:rsidRPr="0076458B">
        <w:rPr>
          <w:rFonts w:ascii="Arial" w:hAnsi="Arial" w:cs="Arial"/>
          <w:b/>
          <w:i/>
          <w:color w:val="auto"/>
          <w:sz w:val="22"/>
          <w:szCs w:val="22"/>
          <w:lang w:val="pl-PL"/>
        </w:rPr>
        <w:t xml:space="preserve"> elementów starannego wyszukiwania, które mogą być uzupełnione przez państwa członkowskie zgodnie z uzgodnieniami poczynionymi przez podmioty praw autorskich do tej samej kategorii dzieł w państwach członkowskich, w których poszukuje się autoryzacji. </w:t>
      </w:r>
    </w:p>
    <w:p w:rsidR="003D7840" w:rsidRDefault="003D7840" w:rsidP="00507480">
      <w:pPr>
        <w:pStyle w:val="Default"/>
        <w:numPr>
          <w:ilvl w:val="0"/>
          <w:numId w:val="32"/>
        </w:numPr>
        <w:shd w:val="clear" w:color="auto" w:fill="C6D9F1"/>
        <w:jc w:val="both"/>
        <w:rPr>
          <w:rFonts w:ascii="Arial" w:hAnsi="Arial" w:cs="Arial"/>
          <w:b/>
          <w:i/>
          <w:color w:val="auto"/>
          <w:sz w:val="22"/>
          <w:szCs w:val="22"/>
          <w:lang w:val="pl-PL"/>
        </w:rPr>
      </w:pPr>
      <w:r w:rsidRPr="0076458B">
        <w:rPr>
          <w:rFonts w:ascii="Arial" w:hAnsi="Arial" w:cs="Arial"/>
          <w:b/>
          <w:i/>
          <w:color w:val="auto"/>
          <w:sz w:val="22"/>
          <w:szCs w:val="22"/>
          <w:lang w:val="pl-PL"/>
        </w:rPr>
        <w:t>Artykuł 3(3) powinien wyjaśniać, że jeśli istnieją uzasadnione wątpliwości, co do lokalizacji</w:t>
      </w:r>
      <w:r>
        <w:rPr>
          <w:rFonts w:ascii="Arial" w:hAnsi="Arial" w:cs="Arial"/>
          <w:b/>
          <w:i/>
          <w:color w:val="auto"/>
          <w:sz w:val="22"/>
          <w:szCs w:val="22"/>
          <w:lang w:val="pl-PL"/>
        </w:rPr>
        <w:t>,</w:t>
      </w:r>
      <w:r w:rsidRPr="0076458B">
        <w:rPr>
          <w:rFonts w:ascii="Arial" w:hAnsi="Arial" w:cs="Arial"/>
          <w:b/>
          <w:i/>
          <w:color w:val="auto"/>
          <w:sz w:val="22"/>
          <w:szCs w:val="22"/>
          <w:lang w:val="pl-PL"/>
        </w:rPr>
        <w:t xml:space="preserve"> poszukiwania powinny wykraczać poza kraj pierwszej publikacji.. </w:t>
      </w:r>
    </w:p>
    <w:p w:rsidR="008343A5" w:rsidRPr="0076458B" w:rsidRDefault="008343A5" w:rsidP="00507480">
      <w:pPr>
        <w:pStyle w:val="Default"/>
        <w:numPr>
          <w:ilvl w:val="0"/>
          <w:numId w:val="32"/>
        </w:numPr>
        <w:shd w:val="clear" w:color="auto" w:fill="C6D9F1"/>
        <w:jc w:val="both"/>
        <w:rPr>
          <w:rFonts w:ascii="Arial" w:hAnsi="Arial" w:cs="Arial"/>
          <w:b/>
          <w:i/>
          <w:color w:val="auto"/>
          <w:sz w:val="22"/>
          <w:szCs w:val="22"/>
          <w:lang w:val="pl-PL"/>
        </w:rPr>
      </w:pPr>
      <w:r>
        <w:rPr>
          <w:rFonts w:ascii="Arial" w:hAnsi="Arial" w:cs="Arial"/>
          <w:b/>
          <w:i/>
          <w:color w:val="auto"/>
          <w:sz w:val="22"/>
          <w:szCs w:val="22"/>
          <w:lang w:val="pl-PL"/>
        </w:rPr>
        <w:t>Paragraf (3) Załącznika – który odnosi się do źródeł, do których winny się odnosić gazety i czasopisma – powinien zawierać wydawców, jak również stowarzyszenia wydawców.</w:t>
      </w:r>
    </w:p>
    <w:p w:rsidR="003D7840" w:rsidRPr="0076458B" w:rsidRDefault="003D7840" w:rsidP="007F3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D7840" w:rsidRPr="0076458B" w:rsidRDefault="003D7840" w:rsidP="007F3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D7840" w:rsidRPr="0076458B" w:rsidRDefault="003D7840" w:rsidP="0090763C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b/>
          <w:lang w:val="pl-PL"/>
        </w:rPr>
      </w:pPr>
      <w:r w:rsidRPr="0076458B">
        <w:rPr>
          <w:rFonts w:ascii="Arial" w:hAnsi="Arial" w:cs="Arial"/>
          <w:b/>
          <w:lang w:val="pl-PL"/>
        </w:rPr>
        <w:lastRenderedPageBreak/>
        <w:t>Korzystanie z dzieł osieroconych, o których mowa w dyrektywie</w:t>
      </w:r>
      <w:r w:rsidR="0064140E">
        <w:rPr>
          <w:rFonts w:ascii="Arial" w:hAnsi="Arial" w:cs="Arial"/>
          <w:b/>
          <w:lang w:val="pl-PL"/>
        </w:rPr>
        <w:t>,</w:t>
      </w:r>
      <w:r w:rsidRPr="0076458B">
        <w:rPr>
          <w:rFonts w:ascii="Arial" w:hAnsi="Arial" w:cs="Arial"/>
          <w:b/>
          <w:lang w:val="pl-PL"/>
        </w:rPr>
        <w:t xml:space="preserve"> powinno być ograniczone do niekomercyjnych przypadków ich wykorzystania przez organizacje pożytku publicznego</w:t>
      </w:r>
    </w:p>
    <w:p w:rsidR="003D7840" w:rsidRPr="0076458B" w:rsidRDefault="003D7840" w:rsidP="00747C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l-PL"/>
        </w:rPr>
      </w:pPr>
    </w:p>
    <w:p w:rsidR="003D7840" w:rsidRPr="0076458B" w:rsidRDefault="003D7840" w:rsidP="00530B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76458B">
        <w:rPr>
          <w:rFonts w:ascii="Arial" w:hAnsi="Arial" w:cs="Arial"/>
          <w:color w:val="000000"/>
          <w:lang w:val="pl-PL"/>
        </w:rPr>
        <w:t>Wierząc, że dyrektywa ma w zamierzeniu umożliwić ograniczone, niekomercyjne korzystanie z dzieł osieroconych przez organizacje pożytku publicznego, jesteśmy zaniepokojeni faktem, że użyta w niej terminologia nie jest dostatecznie precyzyjna i może stwarzać możliwości innym operatorom (na przykład, organizacjom mieniącym się „publicznie dostępnymi bibliotekami”) udostępniania dzieł osieroconych publikowanych w magazynach elektronicznych w ramach płatnych ofert „na żądanie”. Stanowiłoby to bezpośrednią konkurencję dla udostępnianych w sieci przez wydawców archiwów (w stworzenie których wydawcy musieli zainwestować, by wyjaśnić kwestię praw autorskich bądź ryzykować narażenie się na postępowanie sądowe).</w:t>
      </w:r>
    </w:p>
    <w:p w:rsidR="003D7840" w:rsidRPr="0076458B" w:rsidRDefault="003D7840" w:rsidP="00425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</w:p>
    <w:p w:rsidR="003D7840" w:rsidRPr="0076458B" w:rsidRDefault="003D7840" w:rsidP="00425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76458B">
        <w:rPr>
          <w:rFonts w:ascii="Arial" w:hAnsi="Arial" w:cs="Arial"/>
          <w:lang w:val="pl-PL"/>
        </w:rPr>
        <w:t>Biorąc pod uwagę fakt, że aktualne sformułowania zapisane w dyrektywie mogą być szeroko interpretowane (na przykład, pojęcie „zapewnianie dostępu do dzieł w celach kulturalnych i edukacyjnych” zgodnie z Artykułem 6 (2), oraz że aktualne sformułowania rodzą także pytania, co do ich zgodności z prawem międzynarodowym</w:t>
      </w:r>
      <w:r w:rsidRPr="0076458B">
        <w:rPr>
          <w:rStyle w:val="Odwoanieprzypisudolnego"/>
          <w:rFonts w:ascii="Arial" w:hAnsi="Arial"/>
          <w:lang w:val="pl-PL"/>
        </w:rPr>
        <w:footnoteReference w:id="1"/>
      </w:r>
      <w:r w:rsidRPr="0076458B">
        <w:rPr>
          <w:rFonts w:ascii="Arial" w:hAnsi="Arial" w:cs="Arial"/>
          <w:lang w:val="pl-PL"/>
        </w:rPr>
        <w:t>, apelujemy o doprecyzowanie zarówno terminologii, jeśli chodzi o użytkowników, jak i przewidywanych w Projekcie form korzystania z dzieł osieroconych. Sytuacja byłaby bardziej klarowna, gdyby w Projekcie zapisano, że zakres dyrektywy ogranicza się do niekomercyjnego korzystania z dzieł osieroconych zgodnie z duchem Dyrektywy w sprawie praw autorskich (2001/29/WE).</w:t>
      </w:r>
    </w:p>
    <w:p w:rsidR="003D7840" w:rsidRPr="0076458B" w:rsidRDefault="003D7840" w:rsidP="00425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D7840" w:rsidRPr="0076458B" w:rsidRDefault="003D7840" w:rsidP="00425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76458B">
        <w:rPr>
          <w:rFonts w:ascii="Arial" w:hAnsi="Arial" w:cs="Arial"/>
          <w:lang w:val="pl-PL"/>
        </w:rPr>
        <w:t xml:space="preserve">Niepokoi nas także fakt, że dzieła można by udostępniać na żądanie za opłatą, przy czym wydawcy nie mogliby otrzymywać finansowej rekompensaty już po 5 latach, gdyby okazało się, że wykorzystane dzieło nie jest w istocie utworem osieroconym. Dlatego zaproponowalibyśmy raczej limit przynajmniej 10 lat, jeśli chodzi o możliwość ubiegania się przez podmioty praw autorskich o wynagrodzenie..  </w:t>
      </w:r>
    </w:p>
    <w:p w:rsidR="003D7840" w:rsidRPr="0076458B" w:rsidRDefault="003D7840" w:rsidP="00425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D7840" w:rsidRPr="0076458B" w:rsidRDefault="003D7840" w:rsidP="00B67EAA">
      <w:pPr>
        <w:pStyle w:val="Default"/>
        <w:shd w:val="clear" w:color="auto" w:fill="C6D9F1"/>
        <w:jc w:val="both"/>
        <w:rPr>
          <w:rFonts w:ascii="Arial" w:hAnsi="Arial" w:cs="Arial"/>
          <w:b/>
          <w:i/>
          <w:color w:val="auto"/>
          <w:sz w:val="22"/>
          <w:szCs w:val="22"/>
          <w:lang w:val="pl-PL"/>
        </w:rPr>
      </w:pPr>
      <w:r w:rsidRPr="0076458B">
        <w:rPr>
          <w:rFonts w:ascii="Arial" w:hAnsi="Arial" w:cs="Arial"/>
          <w:b/>
          <w:i/>
          <w:color w:val="auto"/>
          <w:sz w:val="22"/>
          <w:szCs w:val="22"/>
          <w:u w:val="single"/>
          <w:lang w:val="pl-PL"/>
        </w:rPr>
        <w:t>Rekomendacja</w:t>
      </w:r>
      <w:r w:rsidRPr="0076458B">
        <w:rPr>
          <w:rFonts w:ascii="Arial" w:hAnsi="Arial" w:cs="Arial"/>
          <w:b/>
          <w:i/>
          <w:color w:val="auto"/>
          <w:sz w:val="22"/>
          <w:szCs w:val="22"/>
          <w:lang w:val="pl-PL"/>
        </w:rPr>
        <w:t xml:space="preserve">: </w:t>
      </w:r>
    </w:p>
    <w:p w:rsidR="003D7840" w:rsidRPr="0076458B" w:rsidRDefault="003D7840" w:rsidP="00D2399B">
      <w:pPr>
        <w:pStyle w:val="Default"/>
        <w:numPr>
          <w:ilvl w:val="0"/>
          <w:numId w:val="38"/>
        </w:numPr>
        <w:shd w:val="clear" w:color="auto" w:fill="C6D9F1"/>
        <w:jc w:val="both"/>
        <w:rPr>
          <w:rFonts w:ascii="Arial" w:hAnsi="Arial" w:cs="Arial"/>
          <w:b/>
          <w:i/>
          <w:color w:val="auto"/>
          <w:sz w:val="22"/>
          <w:szCs w:val="22"/>
          <w:lang w:val="pl-PL"/>
        </w:rPr>
      </w:pPr>
      <w:r w:rsidRPr="0076458B">
        <w:rPr>
          <w:rFonts w:ascii="Arial" w:hAnsi="Arial" w:cs="Arial"/>
          <w:b/>
          <w:i/>
          <w:color w:val="auto"/>
          <w:sz w:val="22"/>
          <w:szCs w:val="22"/>
          <w:lang w:val="pl-PL"/>
        </w:rPr>
        <w:t>Projekt nie powinien dotyczyć „publicznie dostępnych”</w:t>
      </w:r>
      <w:r w:rsidR="0064140E">
        <w:rPr>
          <w:rFonts w:ascii="Arial" w:hAnsi="Arial" w:cs="Arial"/>
          <w:b/>
          <w:i/>
          <w:color w:val="auto"/>
          <w:sz w:val="22"/>
          <w:szCs w:val="22"/>
          <w:lang w:val="pl-PL"/>
        </w:rPr>
        <w:t>,</w:t>
      </w:r>
      <w:r w:rsidRPr="0076458B">
        <w:rPr>
          <w:rFonts w:ascii="Arial" w:hAnsi="Arial" w:cs="Arial"/>
          <w:b/>
          <w:i/>
          <w:color w:val="auto"/>
          <w:sz w:val="22"/>
          <w:szCs w:val="22"/>
          <w:lang w:val="pl-PL"/>
        </w:rPr>
        <w:t xml:space="preserve"> lecz finansowanych z funduszy publicznych organizacji pożytku publicznego prowadzących działalność niekomercyjną, aby uniknąć sytuacji, w której wspomniane podmioty pozyskiwałyby komercyjne korzyści wyższe niż firmy prowadzące działalność komercyjną, naruszając tym samym zasady konkurencji. </w:t>
      </w:r>
    </w:p>
    <w:p w:rsidR="003D7840" w:rsidRPr="0076458B" w:rsidRDefault="003D7840" w:rsidP="00B67EAA">
      <w:pPr>
        <w:pStyle w:val="Default"/>
        <w:numPr>
          <w:ilvl w:val="0"/>
          <w:numId w:val="38"/>
        </w:numPr>
        <w:shd w:val="clear" w:color="auto" w:fill="C6D9F1"/>
        <w:jc w:val="both"/>
        <w:rPr>
          <w:rFonts w:ascii="Arial" w:hAnsi="Arial" w:cs="Arial"/>
          <w:b/>
          <w:i/>
          <w:color w:val="auto"/>
          <w:sz w:val="22"/>
          <w:szCs w:val="22"/>
          <w:lang w:val="pl-PL"/>
        </w:rPr>
      </w:pPr>
      <w:r w:rsidRPr="0076458B">
        <w:rPr>
          <w:rFonts w:ascii="Arial" w:hAnsi="Arial" w:cs="Arial"/>
          <w:b/>
          <w:i/>
          <w:color w:val="auto"/>
          <w:sz w:val="22"/>
          <w:szCs w:val="22"/>
          <w:lang w:val="pl-PL"/>
        </w:rPr>
        <w:t xml:space="preserve">W Projekcie powinno znaleźć się wyraźne sformułowanie, że korzystanie z utworów osieroconych powinno być ograniczone do celów niekomercyjnych (zapis taki powinien się znaleźć na przykład w Ustępie).  </w:t>
      </w:r>
    </w:p>
    <w:p w:rsidR="003D7840" w:rsidRPr="0076458B" w:rsidRDefault="003D7840" w:rsidP="003D1602">
      <w:pPr>
        <w:pStyle w:val="Default"/>
        <w:numPr>
          <w:ilvl w:val="0"/>
          <w:numId w:val="38"/>
        </w:numPr>
        <w:shd w:val="clear" w:color="auto" w:fill="C6D9F1"/>
        <w:jc w:val="both"/>
        <w:rPr>
          <w:rFonts w:ascii="Arial" w:hAnsi="Arial" w:cs="Arial"/>
          <w:b/>
          <w:i/>
          <w:color w:val="auto"/>
          <w:sz w:val="22"/>
          <w:szCs w:val="22"/>
          <w:lang w:val="pl-PL"/>
        </w:rPr>
      </w:pPr>
      <w:r w:rsidRPr="0076458B">
        <w:rPr>
          <w:rFonts w:ascii="Arial" w:hAnsi="Arial" w:cs="Arial"/>
          <w:b/>
          <w:i/>
          <w:color w:val="auto"/>
          <w:sz w:val="22"/>
          <w:szCs w:val="22"/>
          <w:lang w:val="pl-PL"/>
        </w:rPr>
        <w:t>Powinien obowiązywać 10-letni okres, w którym podmioty praw mogłyby ubiegać się o wynagrodzenie za korzystanie z utworów, które zostały błędnie uznane za osierocone.</w:t>
      </w:r>
    </w:p>
    <w:p w:rsidR="003D7840" w:rsidRPr="0076458B" w:rsidRDefault="003D7840" w:rsidP="00B67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D7840" w:rsidRPr="0076458B" w:rsidRDefault="003D7840" w:rsidP="00425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D7840" w:rsidRPr="0076458B" w:rsidRDefault="003D7840" w:rsidP="00530BC7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b/>
          <w:lang w:val="pl-PL"/>
        </w:rPr>
      </w:pPr>
      <w:r w:rsidRPr="0076458B">
        <w:rPr>
          <w:rFonts w:ascii="Arial" w:hAnsi="Arial" w:cs="Arial"/>
          <w:b/>
          <w:lang w:val="pl-PL"/>
        </w:rPr>
        <w:t xml:space="preserve">Podmioty korzystające z dzieł osieroconych powinny – dla pewności prawnej – posiadać licencję oraz </w:t>
      </w:r>
      <w:r w:rsidR="00D73764">
        <w:rPr>
          <w:rFonts w:ascii="Arial" w:hAnsi="Arial" w:cs="Arial"/>
          <w:b/>
          <w:lang w:val="pl-PL"/>
        </w:rPr>
        <w:t>płacić</w:t>
      </w:r>
      <w:r w:rsidR="00D73764" w:rsidRPr="0076458B">
        <w:rPr>
          <w:rFonts w:ascii="Arial" w:hAnsi="Arial" w:cs="Arial"/>
          <w:b/>
          <w:lang w:val="pl-PL"/>
        </w:rPr>
        <w:t xml:space="preserve"> </w:t>
      </w:r>
      <w:r w:rsidRPr="0076458B">
        <w:rPr>
          <w:rFonts w:ascii="Arial" w:hAnsi="Arial" w:cs="Arial"/>
          <w:b/>
          <w:lang w:val="pl-PL"/>
        </w:rPr>
        <w:t>rekompensatę finansową w państwie członkowskim pierwszej publikacji</w:t>
      </w:r>
    </w:p>
    <w:p w:rsidR="003D7840" w:rsidRPr="0076458B" w:rsidRDefault="003D7840" w:rsidP="00530B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D7840" w:rsidRPr="0076458B" w:rsidRDefault="003D7840" w:rsidP="00530B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76458B">
        <w:rPr>
          <w:rFonts w:ascii="Arial" w:hAnsi="Arial" w:cs="Arial"/>
          <w:lang w:val="pl-PL"/>
        </w:rPr>
        <w:lastRenderedPageBreak/>
        <w:t>Ważne jest, aby było jasne, kto i jak może korzystać z materiału określonego jako osierocony. Dlatego Projekt powinien gwarantować, że każde wykorzystanie dzieł osieroconych przez biblioteki lub inne instytucje na zasadach sformułowanych w Projekcie będzie licencjonowane przez odpowiednią organizację zbiorowego zarządzania prawami w państwie członkowskim pierwszej publikacji.</w:t>
      </w:r>
    </w:p>
    <w:p w:rsidR="003D7840" w:rsidRPr="0076458B" w:rsidRDefault="003D7840" w:rsidP="00530B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D7840" w:rsidRPr="0076458B" w:rsidRDefault="003D7840" w:rsidP="00530B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76458B">
        <w:rPr>
          <w:rFonts w:ascii="Arial" w:hAnsi="Arial" w:cs="Arial"/>
          <w:lang w:val="pl-PL"/>
        </w:rPr>
        <w:t xml:space="preserve">Należy również uwzględnić wynagrodzenie określone przez podmioty praw do tej samej kategorii dzieł w państwie członkowskim pierwszej publikacji. </w:t>
      </w:r>
    </w:p>
    <w:p w:rsidR="003D7840" w:rsidRPr="0076458B" w:rsidRDefault="003D7840" w:rsidP="00425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D7840" w:rsidRPr="0076458B" w:rsidRDefault="003D7840" w:rsidP="0003075B">
      <w:pPr>
        <w:shd w:val="clear" w:color="auto" w:fill="C6D9F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l-PL"/>
        </w:rPr>
      </w:pPr>
      <w:r w:rsidRPr="0076458B">
        <w:rPr>
          <w:rFonts w:ascii="Arial" w:hAnsi="Arial" w:cs="Arial"/>
          <w:b/>
          <w:u w:val="single"/>
          <w:lang w:val="pl-PL"/>
        </w:rPr>
        <w:t>Rekomendacja</w:t>
      </w:r>
      <w:r w:rsidRPr="0076458B">
        <w:rPr>
          <w:rFonts w:ascii="Arial" w:hAnsi="Arial" w:cs="Arial"/>
          <w:b/>
          <w:lang w:val="pl-PL"/>
        </w:rPr>
        <w:t>:</w:t>
      </w:r>
    </w:p>
    <w:p w:rsidR="003D7840" w:rsidRPr="0076458B" w:rsidRDefault="003D7840" w:rsidP="0003075B">
      <w:pPr>
        <w:pStyle w:val="Akapitzlist"/>
        <w:numPr>
          <w:ilvl w:val="0"/>
          <w:numId w:val="41"/>
        </w:numPr>
        <w:shd w:val="clear" w:color="auto" w:fill="C6D9F1"/>
        <w:autoSpaceDE w:val="0"/>
        <w:autoSpaceDN w:val="0"/>
        <w:adjustRightInd w:val="0"/>
        <w:jc w:val="both"/>
        <w:rPr>
          <w:rFonts w:ascii="Arial" w:hAnsi="Arial" w:cs="Arial"/>
          <w:b/>
          <w:lang w:val="pl-PL"/>
        </w:rPr>
      </w:pPr>
      <w:r w:rsidRPr="0076458B">
        <w:rPr>
          <w:rFonts w:ascii="Arial" w:hAnsi="Arial" w:cs="Arial"/>
          <w:b/>
          <w:lang w:val="pl-PL"/>
        </w:rPr>
        <w:t xml:space="preserve">W Projekcie powinno zostać zapisane, iż licencja jest konieczna </w:t>
      </w:r>
      <w:r w:rsidR="005F7B6B">
        <w:rPr>
          <w:rFonts w:ascii="Arial" w:hAnsi="Arial" w:cs="Arial"/>
          <w:b/>
          <w:lang w:val="pl-PL"/>
        </w:rPr>
        <w:t>w zakresie</w:t>
      </w:r>
      <w:r w:rsidR="005F7B6B" w:rsidRPr="0076458B">
        <w:rPr>
          <w:rFonts w:ascii="Arial" w:hAnsi="Arial" w:cs="Arial"/>
          <w:b/>
          <w:lang w:val="pl-PL"/>
        </w:rPr>
        <w:t xml:space="preserve"> </w:t>
      </w:r>
      <w:r w:rsidRPr="0076458B">
        <w:rPr>
          <w:rFonts w:ascii="Arial" w:hAnsi="Arial" w:cs="Arial"/>
          <w:b/>
          <w:lang w:val="pl-PL"/>
        </w:rPr>
        <w:t xml:space="preserve">każdego wykorzystania dzieła osieroconego i że przewidziane jest wynagrodzenie za takie wykorzystanie w państwie członkowskim pierwszej publikacji. </w:t>
      </w:r>
    </w:p>
    <w:p w:rsidR="003D7840" w:rsidRPr="0076458B" w:rsidRDefault="003D7840" w:rsidP="00425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D7840" w:rsidRPr="0076458B" w:rsidRDefault="003D7840" w:rsidP="00425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D7840" w:rsidRPr="0076458B" w:rsidRDefault="003D7840" w:rsidP="00FB209A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b/>
          <w:lang w:val="pl-PL"/>
        </w:rPr>
      </w:pPr>
      <w:r w:rsidRPr="0076458B">
        <w:rPr>
          <w:rFonts w:ascii="Arial" w:hAnsi="Arial" w:cs="Arial"/>
          <w:b/>
          <w:lang w:val="pl-PL"/>
        </w:rPr>
        <w:t>Utrzymanie w Projekcie właściwego podejścia do poszerzonych licencji (ECL)</w:t>
      </w:r>
    </w:p>
    <w:p w:rsidR="003D7840" w:rsidRPr="0076458B" w:rsidRDefault="003D7840" w:rsidP="00425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D7840" w:rsidRPr="0076458B" w:rsidRDefault="003D7840" w:rsidP="00FB20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76458B">
        <w:rPr>
          <w:rFonts w:ascii="Arial" w:hAnsi="Arial" w:cs="Arial"/>
          <w:lang w:val="pl-PL"/>
        </w:rPr>
        <w:t xml:space="preserve">Sądzimy, że podejście zapisane w Projekcie odnośnie </w:t>
      </w:r>
      <w:r>
        <w:rPr>
          <w:rFonts w:ascii="Arial" w:hAnsi="Arial" w:cs="Arial"/>
          <w:lang w:val="pl-PL"/>
        </w:rPr>
        <w:t xml:space="preserve">do </w:t>
      </w:r>
      <w:r w:rsidRPr="0076458B">
        <w:rPr>
          <w:rFonts w:ascii="Arial" w:hAnsi="Arial" w:cs="Arial"/>
          <w:lang w:val="pl-PL"/>
        </w:rPr>
        <w:t xml:space="preserve">ECL jest właściwe, gdyż nie narusza rozwiązań przyjętych przez państwa członkowskie, zgodnie z zapisami „Dyrektywy UE w sprawie praw autorskich” (2001/29/WE). </w:t>
      </w:r>
    </w:p>
    <w:p w:rsidR="003D7840" w:rsidRPr="0076458B" w:rsidRDefault="003D7840" w:rsidP="00FB20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D7840" w:rsidRPr="0076458B" w:rsidRDefault="005F7B6B" w:rsidP="00FB20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76458B">
        <w:rPr>
          <w:rFonts w:ascii="Arial" w:hAnsi="Arial" w:cs="Arial"/>
          <w:lang w:val="pl-PL"/>
        </w:rPr>
        <w:t>Akceptuj</w:t>
      </w:r>
      <w:r>
        <w:rPr>
          <w:rFonts w:ascii="Arial" w:hAnsi="Arial" w:cs="Arial"/>
          <w:lang w:val="pl-PL"/>
        </w:rPr>
        <w:t>emy</w:t>
      </w:r>
      <w:r w:rsidRPr="0076458B">
        <w:rPr>
          <w:rFonts w:ascii="Arial" w:hAnsi="Arial" w:cs="Arial"/>
          <w:lang w:val="pl-PL"/>
        </w:rPr>
        <w:t xml:space="preserve"> </w:t>
      </w:r>
      <w:r w:rsidR="003D7840" w:rsidRPr="0076458B">
        <w:rPr>
          <w:rFonts w:ascii="Arial" w:hAnsi="Arial" w:cs="Arial"/>
          <w:lang w:val="pl-PL"/>
        </w:rPr>
        <w:t xml:space="preserve">rozstrzygnięcie, że państwa członkowskie powinny mieć możliwość wprowadzenia ECL (które mogą przybierać nie tylko jedną, ale szereg różnych form), niepokoi nas </w:t>
      </w:r>
      <w:r>
        <w:rPr>
          <w:rFonts w:ascii="Arial" w:hAnsi="Arial" w:cs="Arial"/>
          <w:lang w:val="pl-PL"/>
        </w:rPr>
        <w:t xml:space="preserve">jednak </w:t>
      </w:r>
      <w:r w:rsidR="003D7840" w:rsidRPr="0076458B">
        <w:rPr>
          <w:rFonts w:ascii="Arial" w:hAnsi="Arial" w:cs="Arial"/>
          <w:lang w:val="pl-PL"/>
        </w:rPr>
        <w:t>fakt, że szeroko zdefiniowane pojęcie poszerzonych licencji może naruszać normalną eksploatację dzieł</w:t>
      </w:r>
      <w:r>
        <w:rPr>
          <w:rFonts w:ascii="Arial" w:hAnsi="Arial" w:cs="Arial"/>
          <w:lang w:val="pl-PL"/>
        </w:rPr>
        <w:t xml:space="preserve"> i</w:t>
      </w:r>
      <w:r w:rsidR="003D7840" w:rsidRPr="0076458B">
        <w:rPr>
          <w:rFonts w:ascii="Arial" w:hAnsi="Arial" w:cs="Arial"/>
          <w:lang w:val="pl-PL"/>
        </w:rPr>
        <w:t xml:space="preserve"> </w:t>
      </w:r>
      <w:r w:rsidRPr="0076458B">
        <w:rPr>
          <w:rFonts w:ascii="Arial" w:hAnsi="Arial" w:cs="Arial"/>
          <w:lang w:val="pl-PL"/>
        </w:rPr>
        <w:t>ignor</w:t>
      </w:r>
      <w:r>
        <w:rPr>
          <w:rFonts w:ascii="Arial" w:hAnsi="Arial" w:cs="Arial"/>
          <w:lang w:val="pl-PL"/>
        </w:rPr>
        <w:t>ować</w:t>
      </w:r>
      <w:r w:rsidRPr="0076458B">
        <w:rPr>
          <w:rFonts w:ascii="Arial" w:hAnsi="Arial" w:cs="Arial"/>
          <w:lang w:val="pl-PL"/>
        </w:rPr>
        <w:t xml:space="preserve"> </w:t>
      </w:r>
      <w:r w:rsidR="003D7840" w:rsidRPr="0076458B">
        <w:rPr>
          <w:rFonts w:ascii="Arial" w:hAnsi="Arial" w:cs="Arial"/>
          <w:lang w:val="pl-PL"/>
        </w:rPr>
        <w:t>podstawową zasadę prawa autorskiego, w myśl której podmioty praw mają wyłączne prawo decydowania o wykorzystaniu ich utworów. Zastrzeżenia takie znalazły niedawno odbicie w odrzuceniu przez większość posłów do Parlamentu Europejskiego wysuniętej przez Komisję Europejską idei adaptowania praw autorskich poprzez wprowadzenie „systemu poszerzonych licencji” do parlamentarnej rezolucji.</w:t>
      </w:r>
      <w:r w:rsidR="003D7840" w:rsidRPr="0076458B">
        <w:rPr>
          <w:rStyle w:val="Odwoanieprzypisudolnego"/>
          <w:rFonts w:ascii="Arial" w:hAnsi="Arial"/>
          <w:lang w:val="pl-PL"/>
        </w:rPr>
        <w:footnoteReference w:id="2"/>
      </w:r>
      <w:r w:rsidR="003D7840" w:rsidRPr="0076458B">
        <w:rPr>
          <w:rFonts w:ascii="Arial" w:hAnsi="Arial" w:cs="Arial"/>
          <w:lang w:val="pl-PL"/>
        </w:rPr>
        <w:t xml:space="preserve"> Przed wprowadzeniem podobnego typu idei do projektu należałoby przeprowadzić dokładną ocenę konsekwencji takiego kroku.  </w:t>
      </w:r>
    </w:p>
    <w:p w:rsidR="003D7840" w:rsidRPr="0076458B" w:rsidRDefault="003D7840" w:rsidP="00FB20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D7840" w:rsidRPr="0076458B" w:rsidRDefault="003D7840" w:rsidP="00425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D7840" w:rsidRPr="0076458B" w:rsidRDefault="003D7840" w:rsidP="00425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</w:p>
    <w:p w:rsidR="003D7840" w:rsidRPr="0076458B" w:rsidRDefault="003D7840" w:rsidP="00425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76458B">
        <w:rPr>
          <w:rFonts w:ascii="Arial" w:hAnsi="Arial" w:cs="Arial"/>
          <w:lang w:val="pl-PL"/>
        </w:rPr>
        <w:t xml:space="preserve">Z wyrazami szacunku, </w:t>
      </w:r>
    </w:p>
    <w:p w:rsidR="003D7840" w:rsidRPr="0076458B" w:rsidRDefault="003D7840" w:rsidP="00BF7AF2">
      <w:pPr>
        <w:tabs>
          <w:tab w:val="num" w:pos="0"/>
        </w:tabs>
        <w:spacing w:after="0"/>
        <w:jc w:val="both"/>
        <w:rPr>
          <w:rFonts w:ascii="Arial" w:hAnsi="Arial" w:cs="Arial"/>
          <w:lang w:val="pl-PL"/>
        </w:rPr>
      </w:pPr>
    </w:p>
    <w:p w:rsidR="003D7840" w:rsidRPr="0076458B" w:rsidRDefault="003D7840" w:rsidP="00BF7AF2">
      <w:pPr>
        <w:tabs>
          <w:tab w:val="num" w:pos="0"/>
        </w:tabs>
        <w:spacing w:after="0"/>
        <w:jc w:val="both"/>
        <w:rPr>
          <w:rFonts w:ascii="Arial" w:hAnsi="Arial" w:cs="Arial"/>
          <w:lang w:val="pl-PL"/>
        </w:rPr>
      </w:pPr>
    </w:p>
    <w:p w:rsidR="003D7840" w:rsidRPr="0076458B" w:rsidRDefault="003D7840" w:rsidP="00BF7AF2">
      <w:pPr>
        <w:tabs>
          <w:tab w:val="num" w:pos="0"/>
        </w:tabs>
        <w:spacing w:after="0"/>
        <w:jc w:val="both"/>
        <w:rPr>
          <w:rFonts w:ascii="Arial" w:hAnsi="Arial" w:cs="Arial"/>
          <w:lang w:val="pl-PL"/>
        </w:rPr>
      </w:pPr>
    </w:p>
    <w:p w:rsidR="003D7840" w:rsidRPr="0076458B" w:rsidRDefault="003D7840" w:rsidP="00BF7AF2">
      <w:pPr>
        <w:tabs>
          <w:tab w:val="num" w:pos="0"/>
        </w:tabs>
        <w:spacing w:after="0"/>
        <w:jc w:val="both"/>
        <w:rPr>
          <w:rFonts w:ascii="Arial" w:hAnsi="Arial" w:cs="Arial"/>
          <w:lang w:val="pl-PL"/>
        </w:rPr>
      </w:pPr>
    </w:p>
    <w:p w:rsidR="003D7840" w:rsidRPr="0076458B" w:rsidRDefault="003D7840" w:rsidP="00BF7AF2">
      <w:pPr>
        <w:tabs>
          <w:tab w:val="num" w:pos="0"/>
        </w:tabs>
        <w:spacing w:after="0"/>
        <w:jc w:val="both"/>
        <w:rPr>
          <w:rFonts w:ascii="Arial" w:hAnsi="Arial" w:cs="Arial"/>
          <w:lang w:val="pl-PL"/>
        </w:rPr>
      </w:pPr>
      <w:r w:rsidRPr="00F22C32">
        <w:rPr>
          <w:rFonts w:ascii="Arial" w:hAnsi="Arial" w:cs="Arial"/>
          <w:lang w:val="fr-FR"/>
        </w:rPr>
        <w:t>Francine</w:t>
      </w:r>
      <w:r w:rsidRPr="0076458B">
        <w:rPr>
          <w:rFonts w:ascii="Arial" w:hAnsi="Arial" w:cs="Arial"/>
          <w:lang w:val="pl-PL"/>
        </w:rPr>
        <w:t xml:space="preserve"> </w:t>
      </w:r>
      <w:r w:rsidRPr="00F22C32">
        <w:rPr>
          <w:rFonts w:ascii="Arial" w:hAnsi="Arial" w:cs="Arial"/>
          <w:lang w:val="fr-FR"/>
        </w:rPr>
        <w:t>Cunningham</w:t>
      </w:r>
      <w:r w:rsidRPr="0076458B">
        <w:rPr>
          <w:rFonts w:ascii="Arial" w:hAnsi="Arial" w:cs="Arial"/>
          <w:lang w:val="pl-PL"/>
        </w:rPr>
        <w:tab/>
      </w:r>
      <w:r w:rsidRPr="0076458B">
        <w:rPr>
          <w:rFonts w:ascii="Arial" w:hAnsi="Arial" w:cs="Arial"/>
          <w:lang w:val="pl-PL"/>
        </w:rPr>
        <w:tab/>
      </w:r>
      <w:r w:rsidRPr="0076458B">
        <w:rPr>
          <w:rFonts w:ascii="Arial" w:hAnsi="Arial" w:cs="Arial"/>
          <w:lang w:val="pl-PL"/>
        </w:rPr>
        <w:tab/>
        <w:t xml:space="preserve">Max Von </w:t>
      </w:r>
      <w:r w:rsidRPr="00F22C32">
        <w:rPr>
          <w:rFonts w:ascii="Arial" w:hAnsi="Arial" w:cs="Arial"/>
          <w:lang w:val="fr-FR"/>
        </w:rPr>
        <w:t>Abendroth</w:t>
      </w:r>
    </w:p>
    <w:p w:rsidR="003D7840" w:rsidRPr="0076458B" w:rsidRDefault="003D7840" w:rsidP="00BF7AF2">
      <w:pPr>
        <w:tabs>
          <w:tab w:val="num" w:pos="0"/>
        </w:tabs>
        <w:spacing w:after="0"/>
        <w:jc w:val="both"/>
        <w:rPr>
          <w:rFonts w:ascii="Arial" w:hAnsi="Arial" w:cs="Arial"/>
          <w:lang w:val="pl-PL"/>
        </w:rPr>
      </w:pPr>
      <w:r w:rsidRPr="0076458B">
        <w:rPr>
          <w:rFonts w:ascii="Arial" w:hAnsi="Arial" w:cs="Arial"/>
          <w:lang w:val="pl-PL"/>
        </w:rPr>
        <w:t xml:space="preserve">ENPA Dyrektor wykonawczy   </w:t>
      </w:r>
      <w:r w:rsidRPr="0076458B">
        <w:rPr>
          <w:rFonts w:ascii="Arial" w:hAnsi="Arial" w:cs="Arial"/>
          <w:lang w:val="pl-PL"/>
        </w:rPr>
        <w:tab/>
      </w:r>
      <w:r w:rsidRPr="0076458B">
        <w:rPr>
          <w:rFonts w:ascii="Arial" w:hAnsi="Arial" w:cs="Arial"/>
          <w:lang w:val="pl-PL"/>
        </w:rPr>
        <w:tab/>
        <w:t>FAEP Dyrektor wykonawczy</w:t>
      </w:r>
    </w:p>
    <w:p w:rsidR="003D7840" w:rsidRPr="0076458B" w:rsidRDefault="003D7840" w:rsidP="00BF7AF2">
      <w:pPr>
        <w:pStyle w:val="ListBullet1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  <w:lang w:val="pl-PL"/>
        </w:rPr>
      </w:pPr>
    </w:p>
    <w:p w:rsidR="003D7840" w:rsidRPr="0076458B" w:rsidRDefault="003D7840" w:rsidP="00BF7AF2">
      <w:pPr>
        <w:pStyle w:val="ListBullet1"/>
        <w:numPr>
          <w:ilvl w:val="0"/>
          <w:numId w:val="0"/>
        </w:numPr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</w:p>
    <w:p w:rsidR="003D7840" w:rsidRPr="0076458B" w:rsidRDefault="003D7840" w:rsidP="00BF7AF2">
      <w:pPr>
        <w:pStyle w:val="ListBullet1"/>
        <w:numPr>
          <w:ilvl w:val="0"/>
          <w:numId w:val="0"/>
        </w:numPr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Kontakty</w:t>
      </w:r>
    </w:p>
    <w:p w:rsidR="003D7840" w:rsidRPr="0076458B" w:rsidRDefault="003D7840" w:rsidP="00BF7AF2">
      <w:pPr>
        <w:pStyle w:val="ListBullet1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tblLook w:val="01E0"/>
      </w:tblPr>
      <w:tblGrid>
        <w:gridCol w:w="4361"/>
        <w:gridCol w:w="4851"/>
      </w:tblGrid>
      <w:tr w:rsidR="003D7840" w:rsidRPr="0076458B" w:rsidTr="00BF7AF2">
        <w:tc>
          <w:tcPr>
            <w:tcW w:w="4361" w:type="dxa"/>
          </w:tcPr>
          <w:p w:rsidR="003D7840" w:rsidRPr="0076458B" w:rsidRDefault="003D7840" w:rsidP="00BF7AF2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76458B">
              <w:rPr>
                <w:rFonts w:ascii="Arial" w:hAnsi="Arial" w:cs="Arial"/>
                <w:lang w:val="pl-PL"/>
              </w:rPr>
              <w:t>Martin Kala</w:t>
            </w:r>
          </w:p>
          <w:p w:rsidR="003D7840" w:rsidRPr="0076458B" w:rsidRDefault="003D7840" w:rsidP="00BF7AF2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76458B">
              <w:rPr>
                <w:rFonts w:ascii="Arial" w:hAnsi="Arial" w:cs="Arial"/>
                <w:lang w:val="pl-PL"/>
              </w:rPr>
              <w:t>ENPA – Europejskie Stowarzyszenie Wydawców Gazet</w:t>
            </w:r>
          </w:p>
          <w:p w:rsidR="003D7840" w:rsidRPr="00F22C32" w:rsidRDefault="003D7840" w:rsidP="00BF7AF2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F22C32">
              <w:rPr>
                <w:rFonts w:ascii="Arial" w:hAnsi="Arial" w:cs="Arial"/>
                <w:lang w:val="fr-FR"/>
              </w:rPr>
              <w:t>Square du Bastion 1A</w:t>
            </w:r>
          </w:p>
          <w:p w:rsidR="003D7840" w:rsidRPr="00F22C32" w:rsidRDefault="003D7840" w:rsidP="00BF7AF2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F22C32">
              <w:rPr>
                <w:rFonts w:ascii="Arial" w:hAnsi="Arial" w:cs="Arial"/>
                <w:lang w:val="fr-FR"/>
              </w:rPr>
              <w:lastRenderedPageBreak/>
              <w:t>B-1050 Brussels</w:t>
            </w:r>
          </w:p>
          <w:p w:rsidR="003D7840" w:rsidRPr="0076458B" w:rsidRDefault="003D7840" w:rsidP="00BF7AF2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76458B">
              <w:rPr>
                <w:rFonts w:ascii="Arial" w:hAnsi="Arial" w:cs="Arial"/>
                <w:lang w:val="pl-PL"/>
              </w:rPr>
              <w:t>Telefon: + 32(0)2 551 01 90</w:t>
            </w:r>
          </w:p>
          <w:p w:rsidR="003D7840" w:rsidRPr="0076458B" w:rsidRDefault="003D7840" w:rsidP="00BF7AF2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F22C32">
              <w:rPr>
                <w:rFonts w:ascii="Arial" w:hAnsi="Arial" w:cs="Arial"/>
                <w:lang w:val="fr-FR"/>
              </w:rPr>
              <w:t>Fax</w:t>
            </w:r>
            <w:r w:rsidRPr="0076458B">
              <w:rPr>
                <w:rFonts w:ascii="Arial" w:hAnsi="Arial" w:cs="Arial"/>
                <w:lang w:val="pl-PL"/>
              </w:rPr>
              <w:t>:+ 32(0)2 551 01 99</w:t>
            </w:r>
          </w:p>
          <w:p w:rsidR="003D7840" w:rsidRPr="0076458B" w:rsidRDefault="003D7840" w:rsidP="00BF7AF2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lang w:val="pl-PL"/>
              </w:rPr>
            </w:pPr>
            <w:proofErr w:type="spellStart"/>
            <w:r w:rsidRPr="0076458B">
              <w:rPr>
                <w:rFonts w:ascii="Arial" w:hAnsi="Arial" w:cs="Arial"/>
                <w:lang w:val="pl-PL"/>
              </w:rPr>
              <w:t>www.enpa.be</w:t>
            </w:r>
            <w:proofErr w:type="spellEnd"/>
          </w:p>
          <w:p w:rsidR="003D7840" w:rsidRPr="0076458B" w:rsidRDefault="008014DB" w:rsidP="00BF7AF2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lang w:val="pl-PL"/>
              </w:rPr>
            </w:pPr>
            <w:hyperlink r:id="rId7" w:history="1">
              <w:r w:rsidR="003D7840" w:rsidRPr="0076458B">
                <w:rPr>
                  <w:rStyle w:val="Hipercze"/>
                  <w:rFonts w:ascii="Arial" w:hAnsi="Arial" w:cs="Arial"/>
                  <w:color w:val="auto"/>
                  <w:lang w:val="pl-PL"/>
                </w:rPr>
                <w:t>martin.kala@enpa.be</w:t>
              </w:r>
            </w:hyperlink>
          </w:p>
        </w:tc>
        <w:tc>
          <w:tcPr>
            <w:tcW w:w="4851" w:type="dxa"/>
          </w:tcPr>
          <w:p w:rsidR="003D7840" w:rsidRPr="0076458B" w:rsidRDefault="003D7840" w:rsidP="00BF7AF2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F22C32">
              <w:rPr>
                <w:rFonts w:ascii="Arial" w:hAnsi="Arial" w:cs="Arial"/>
                <w:lang w:val="fr-FR"/>
              </w:rPr>
              <w:lastRenderedPageBreak/>
              <w:t>Catherine</w:t>
            </w:r>
            <w:r w:rsidRPr="0076458B">
              <w:rPr>
                <w:rFonts w:ascii="Arial" w:hAnsi="Arial" w:cs="Arial"/>
                <w:lang w:val="pl-PL"/>
              </w:rPr>
              <w:t xml:space="preserve"> </w:t>
            </w:r>
            <w:r w:rsidRPr="00F22C32">
              <w:rPr>
                <w:rFonts w:ascii="Arial" w:hAnsi="Arial" w:cs="Arial"/>
                <w:lang w:val="fr-FR"/>
              </w:rPr>
              <w:t>Starkie</w:t>
            </w:r>
          </w:p>
          <w:p w:rsidR="003D7840" w:rsidRPr="0076458B" w:rsidRDefault="003D7840" w:rsidP="00BF7AF2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76458B">
              <w:rPr>
                <w:rFonts w:ascii="Arial" w:hAnsi="Arial" w:cs="Arial"/>
                <w:lang w:val="pl-PL"/>
              </w:rPr>
              <w:t>FAEP – Europejska Federacja Wydawców Magazynów</w:t>
            </w:r>
          </w:p>
          <w:p w:rsidR="003D7840" w:rsidRPr="008343A5" w:rsidRDefault="003D7840" w:rsidP="00BF7AF2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22C32">
              <w:rPr>
                <w:rFonts w:ascii="Arial" w:hAnsi="Arial" w:cs="Arial"/>
                <w:lang w:val="fr-FR"/>
              </w:rPr>
              <w:t xml:space="preserve">Square du </w:t>
            </w:r>
            <w:r w:rsidR="008014DB" w:rsidRPr="008014DB">
              <w:rPr>
                <w:rFonts w:ascii="Arial" w:hAnsi="Arial" w:cs="Arial"/>
                <w:lang w:val="en-US"/>
              </w:rPr>
              <w:t xml:space="preserve">Bastion1A </w:t>
            </w:r>
          </w:p>
          <w:p w:rsidR="003D7840" w:rsidRPr="008343A5" w:rsidRDefault="008014DB" w:rsidP="00BF7AF2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014DB">
              <w:rPr>
                <w:rFonts w:ascii="Arial" w:hAnsi="Arial" w:cs="Arial"/>
                <w:lang w:val="en-US"/>
              </w:rPr>
              <w:lastRenderedPageBreak/>
              <w:t xml:space="preserve">B - 1050 </w:t>
            </w:r>
            <w:r w:rsidR="003D7840" w:rsidRPr="00F22C32">
              <w:rPr>
                <w:rFonts w:ascii="Arial" w:hAnsi="Arial" w:cs="Arial"/>
                <w:lang w:val="fr-FR"/>
              </w:rPr>
              <w:t>Brussels</w:t>
            </w:r>
            <w:r w:rsidRPr="008014DB">
              <w:rPr>
                <w:rFonts w:ascii="Arial" w:hAnsi="Arial" w:cs="Arial"/>
                <w:lang w:val="en-US"/>
              </w:rPr>
              <w:t>            </w:t>
            </w:r>
            <w:r w:rsidRPr="008014DB">
              <w:rPr>
                <w:rFonts w:ascii="Arial" w:hAnsi="Arial" w:cs="Arial"/>
                <w:lang w:val="en-US"/>
              </w:rPr>
              <w:br/>
            </w:r>
            <w:proofErr w:type="spellStart"/>
            <w:r w:rsidRPr="008014DB">
              <w:rPr>
                <w:rFonts w:ascii="Arial" w:hAnsi="Arial" w:cs="Arial"/>
                <w:lang w:val="en-US"/>
              </w:rPr>
              <w:t>Telefon</w:t>
            </w:r>
            <w:proofErr w:type="spellEnd"/>
            <w:r w:rsidRPr="008014DB">
              <w:rPr>
                <w:rFonts w:ascii="Arial" w:hAnsi="Arial" w:cs="Arial"/>
                <w:lang w:val="en-US"/>
              </w:rPr>
              <w:t xml:space="preserve">: +32 (0)2 536 06 02       </w:t>
            </w:r>
            <w:r w:rsidRPr="008014DB">
              <w:rPr>
                <w:rFonts w:ascii="Arial" w:hAnsi="Arial" w:cs="Arial"/>
                <w:lang w:val="en-US"/>
              </w:rPr>
              <w:br/>
            </w:r>
            <w:r w:rsidR="003D7840" w:rsidRPr="00F22C32">
              <w:rPr>
                <w:rFonts w:ascii="Arial" w:hAnsi="Arial" w:cs="Arial"/>
                <w:lang w:val="fr-FR"/>
              </w:rPr>
              <w:t>Fax</w:t>
            </w:r>
            <w:r w:rsidRPr="008014DB">
              <w:rPr>
                <w:rFonts w:ascii="Arial" w:hAnsi="Arial" w:cs="Arial"/>
                <w:lang w:val="en-US"/>
              </w:rPr>
              <w:t xml:space="preserve">: +32 (0)2 536 06 01           </w:t>
            </w:r>
          </w:p>
          <w:p w:rsidR="003D7840" w:rsidRPr="008343A5" w:rsidRDefault="008014DB" w:rsidP="00BF7AF2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8" w:history="1">
              <w:r w:rsidRPr="008014DB">
                <w:rPr>
                  <w:rStyle w:val="Hipercze"/>
                  <w:rFonts w:ascii="Arial" w:hAnsi="Arial" w:cs="Arial"/>
                  <w:color w:val="auto"/>
                  <w:u w:val="none"/>
                  <w:lang w:val="en-US"/>
                </w:rPr>
                <w:t>www.faep.org</w:t>
              </w:r>
            </w:hyperlink>
          </w:p>
          <w:p w:rsidR="003D7840" w:rsidRPr="008343A5" w:rsidRDefault="008014DB" w:rsidP="00BF7AF2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9" w:history="1">
              <w:r w:rsidRPr="008014DB">
                <w:rPr>
                  <w:rStyle w:val="Hipercze"/>
                  <w:rFonts w:ascii="Arial" w:hAnsi="Arial" w:cs="Arial"/>
                  <w:color w:val="auto"/>
                  <w:lang w:val="en-US"/>
                </w:rPr>
                <w:t>catherine.starkie@faep.org</w:t>
              </w:r>
            </w:hyperlink>
          </w:p>
        </w:tc>
      </w:tr>
    </w:tbl>
    <w:p w:rsidR="003D7840" w:rsidRPr="008343A5" w:rsidRDefault="003D7840" w:rsidP="00BF7AF2">
      <w:pPr>
        <w:spacing w:after="0"/>
        <w:jc w:val="both"/>
        <w:rPr>
          <w:rFonts w:ascii="Arial" w:hAnsi="Arial" w:cs="Arial"/>
          <w:i/>
          <w:lang w:val="en-US"/>
        </w:rPr>
      </w:pPr>
    </w:p>
    <w:p w:rsidR="003D7840" w:rsidRPr="008343A5" w:rsidRDefault="003D7840" w:rsidP="00BF7AF2">
      <w:pPr>
        <w:spacing w:after="0"/>
        <w:jc w:val="both"/>
        <w:rPr>
          <w:rFonts w:ascii="Arial" w:hAnsi="Arial" w:cs="Arial"/>
          <w:i/>
          <w:lang w:val="en-US"/>
        </w:rPr>
      </w:pPr>
    </w:p>
    <w:p w:rsidR="003D7840" w:rsidRPr="0076458B" w:rsidRDefault="003D7840" w:rsidP="00BF7AF2">
      <w:pPr>
        <w:pStyle w:val="Tekstpodstawowywcity"/>
        <w:tabs>
          <w:tab w:val="left" w:pos="5580"/>
        </w:tabs>
        <w:spacing w:after="0"/>
        <w:ind w:left="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76458B">
        <w:rPr>
          <w:rFonts w:ascii="Arial" w:hAnsi="Arial" w:cs="Arial"/>
          <w:i/>
          <w:sz w:val="22"/>
          <w:szCs w:val="22"/>
          <w:lang w:val="pl-PL"/>
        </w:rPr>
        <w:t>Europejskie Stowarzyszenie Wydawców Gazet (ENPA) promuje profesjonalne interesy europejskiej branży wydawców gazet i mediów informacyjnych na wszystkich platformach. Członkowie ENPA reprezentują ponad 5,200 krajowych, regionalnych i lokalnych tytułów gazet wydawanych w 26 krajach europejskich, w tym w Norwegii, Serbii i Szwajcarii. Każdego dnia sprzedaje się ponad 150 milionów egzemplarzy gazet, które czytuje ponad 300 milionów Europejczyków, nie licząc wielu milionów niepowtarzalnych wejść na strony ponad 2,500 gazet elektronicznych.</w:t>
      </w:r>
    </w:p>
    <w:p w:rsidR="003D7840" w:rsidRPr="0076458B" w:rsidRDefault="003D7840" w:rsidP="00BF7AF2">
      <w:pPr>
        <w:pStyle w:val="Tekstpodstawowywcity"/>
        <w:tabs>
          <w:tab w:val="left" w:pos="5580"/>
        </w:tabs>
        <w:spacing w:after="0"/>
        <w:ind w:left="0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3D7840" w:rsidRPr="0076458B" w:rsidRDefault="003D7840" w:rsidP="00BF7AF2">
      <w:pPr>
        <w:pStyle w:val="Tekstpodstawowywcity"/>
        <w:tabs>
          <w:tab w:val="left" w:pos="5580"/>
        </w:tabs>
        <w:spacing w:after="0"/>
        <w:ind w:left="0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3D7840" w:rsidRPr="0076458B" w:rsidRDefault="003D7840" w:rsidP="00BF7AF2">
      <w:pPr>
        <w:pStyle w:val="Tekstpodstawowywcity"/>
        <w:tabs>
          <w:tab w:val="left" w:pos="5580"/>
        </w:tabs>
        <w:spacing w:after="0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76458B">
        <w:rPr>
          <w:rFonts w:ascii="Arial" w:hAnsi="Arial" w:cs="Arial"/>
          <w:i/>
          <w:sz w:val="22"/>
          <w:szCs w:val="22"/>
          <w:lang w:val="pl-PL"/>
        </w:rPr>
        <w:t>FAEP, Europejska Federacja Wydawców Magazynów to reprezentatywne stowarzyszenie branżowe europejskiej prasy periodycznej. Reprezentujemy 27 krajowych stowarzyszeń branżowych wydawców magazynów z państw członkowskich UE, a także 21 członków korporacyjnych z całej Europy. Ogółem reprezentujemy interesy 15,000 firm wydawniczych, wydających rocznie ponad 50,000 tytułów w wersji drukowanej i elektronicznej.</w:t>
      </w:r>
    </w:p>
    <w:p w:rsidR="003D7840" w:rsidRPr="0076458B" w:rsidRDefault="003D7840" w:rsidP="00BF7AF2">
      <w:pPr>
        <w:pStyle w:val="Akapitzlist"/>
        <w:ind w:left="0"/>
        <w:jc w:val="both"/>
        <w:rPr>
          <w:rFonts w:ascii="Arial" w:hAnsi="Arial" w:cs="Arial"/>
          <w:b/>
          <w:lang w:val="pl-PL"/>
        </w:rPr>
      </w:pPr>
    </w:p>
    <w:sectPr w:rsidR="003D7840" w:rsidRPr="0076458B" w:rsidSect="006F3E5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76C" w:rsidRDefault="0007076C" w:rsidP="00E74B15">
      <w:pPr>
        <w:spacing w:after="0" w:line="240" w:lineRule="auto"/>
      </w:pPr>
      <w:r>
        <w:separator/>
      </w:r>
    </w:p>
  </w:endnote>
  <w:endnote w:type="continuationSeparator" w:id="0">
    <w:p w:rsidR="0007076C" w:rsidRDefault="0007076C" w:rsidP="00E7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0E" w:rsidRDefault="008014DB">
    <w:pPr>
      <w:pStyle w:val="Stopka"/>
      <w:jc w:val="center"/>
    </w:pPr>
    <w:r>
      <w:fldChar w:fldCharType="begin"/>
    </w:r>
    <w:r w:rsidR="0064140E">
      <w:instrText xml:space="preserve"> PAGE   \* MERGEFORMAT </w:instrText>
    </w:r>
    <w:r>
      <w:fldChar w:fldCharType="separate"/>
    </w:r>
    <w:r w:rsidR="00B30EF1">
      <w:rPr>
        <w:noProof/>
      </w:rPr>
      <w:t>1</w:t>
    </w:r>
    <w:r>
      <w:rPr>
        <w:noProof/>
      </w:rPr>
      <w:fldChar w:fldCharType="end"/>
    </w:r>
  </w:p>
  <w:p w:rsidR="0064140E" w:rsidRDefault="006414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76C" w:rsidRDefault="0007076C" w:rsidP="00E74B15">
      <w:pPr>
        <w:spacing w:after="0" w:line="240" w:lineRule="auto"/>
      </w:pPr>
      <w:r>
        <w:separator/>
      </w:r>
    </w:p>
  </w:footnote>
  <w:footnote w:type="continuationSeparator" w:id="0">
    <w:p w:rsidR="0007076C" w:rsidRDefault="0007076C" w:rsidP="00E74B15">
      <w:pPr>
        <w:spacing w:after="0" w:line="240" w:lineRule="auto"/>
      </w:pPr>
      <w:r>
        <w:continuationSeparator/>
      </w:r>
    </w:p>
  </w:footnote>
  <w:footnote w:id="1">
    <w:p w:rsidR="0064140E" w:rsidRPr="008343A5" w:rsidRDefault="0064140E" w:rsidP="0072382A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Pr="0072382A">
        <w:rPr>
          <w:lang w:val="pl-PL"/>
        </w:rPr>
        <w:t xml:space="preserve"> Na przykład zasadą </w:t>
      </w:r>
      <w:r w:rsidR="005F7B6B">
        <w:rPr>
          <w:lang w:val="pl-PL"/>
        </w:rPr>
        <w:t>„</w:t>
      </w:r>
      <w:r w:rsidRPr="0072382A">
        <w:rPr>
          <w:lang w:val="pl-PL"/>
        </w:rPr>
        <w:t xml:space="preserve">testu 3 kroków” zapisaną w Konwencji Berneńskiej, która pozwala na ograniczanie praw i) w niektórych szczególnych przypadkach; ii) kiedy </w:t>
      </w:r>
      <w:r>
        <w:rPr>
          <w:lang w:val="pl-PL"/>
        </w:rPr>
        <w:t xml:space="preserve">korzystanie z dzieła nie koliduje z normalną jego eksploatacją (lub innym chronionym przedmiotem); i iii) nie narusza w sposób nieracjonalny uprawnionych interesów podmiotu praw. </w:t>
      </w:r>
    </w:p>
  </w:footnote>
  <w:footnote w:id="2">
    <w:p w:rsidR="0064140E" w:rsidRPr="008343A5" w:rsidRDefault="0064140E" w:rsidP="00682BF5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Pr="00682BF5">
        <w:rPr>
          <w:lang w:val="pl-PL"/>
        </w:rPr>
        <w:t xml:space="preserve"> </w:t>
      </w:r>
      <w:r>
        <w:rPr>
          <w:lang w:val="pl-PL"/>
        </w:rPr>
        <w:t xml:space="preserve">Projekt raportu </w:t>
      </w:r>
      <w:r w:rsidRPr="00F22C32">
        <w:rPr>
          <w:lang w:val="fr-FR"/>
        </w:rPr>
        <w:t xml:space="preserve">Marie-Therese Sanchez </w:t>
      </w:r>
      <w:r>
        <w:rPr>
          <w:lang w:val="pl-PL"/>
        </w:rPr>
        <w:t>Schmid zatytułowanego „Odblokowywanie potencjału branż kulturalnych i kreatywnych” (A7-0143/2011)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0E" w:rsidRDefault="008D7815" w:rsidP="009338FA">
    <w:pPr>
      <w:pStyle w:val="Nagwek"/>
      <w:tabs>
        <w:tab w:val="clear" w:pos="4536"/>
        <w:tab w:val="clear" w:pos="9072"/>
        <w:tab w:val="left" w:pos="750"/>
      </w:tabs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-6985</wp:posOffset>
          </wp:positionV>
          <wp:extent cx="1562100" cy="419100"/>
          <wp:effectExtent l="19050" t="0" r="0" b="0"/>
          <wp:wrapSquare wrapText="bothSides"/>
          <wp:docPr id="2" name="Picture 3" descr="ENPA-logo-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PA-logo-CMYK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inline distT="0" distB="0" distL="0" distR="0">
          <wp:extent cx="1992630" cy="379730"/>
          <wp:effectExtent l="19050" t="0" r="7620" b="0"/>
          <wp:docPr id="1" name="Picture 1" descr="FAEP Logo-CMYK-left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EP Logo-CMYK-left-to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379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4140E">
      <w:tab/>
    </w:r>
  </w:p>
  <w:p w:rsidR="0064140E" w:rsidRDefault="0064140E" w:rsidP="009338FA">
    <w:pPr>
      <w:pStyle w:val="Nagwek"/>
      <w:tabs>
        <w:tab w:val="clear" w:pos="4536"/>
        <w:tab w:val="clear" w:pos="9072"/>
        <w:tab w:val="left" w:pos="750"/>
      </w:tabs>
    </w:pPr>
  </w:p>
  <w:p w:rsidR="0064140E" w:rsidRDefault="0064140E" w:rsidP="009338FA">
    <w:pPr>
      <w:pStyle w:val="Nagwek"/>
      <w:tabs>
        <w:tab w:val="clear" w:pos="4536"/>
        <w:tab w:val="clear" w:pos="9072"/>
        <w:tab w:val="left" w:pos="75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B35"/>
    <w:multiLevelType w:val="hybridMultilevel"/>
    <w:tmpl w:val="EA487460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747F1A"/>
    <w:multiLevelType w:val="hybridMultilevel"/>
    <w:tmpl w:val="C00628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A4B76"/>
    <w:multiLevelType w:val="hybridMultilevel"/>
    <w:tmpl w:val="1EF87D7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9C5D36"/>
    <w:multiLevelType w:val="multilevel"/>
    <w:tmpl w:val="66A416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6207123"/>
    <w:multiLevelType w:val="hybridMultilevel"/>
    <w:tmpl w:val="471201E0"/>
    <w:lvl w:ilvl="0" w:tplc="08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C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C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C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C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C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C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1DDDA9EA"/>
    <w:multiLevelType w:val="hybridMultilevel"/>
    <w:tmpl w:val="3901EAC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1EF971F3"/>
    <w:multiLevelType w:val="hybridMultilevel"/>
    <w:tmpl w:val="A5D69D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CF0B52"/>
    <w:multiLevelType w:val="hybridMultilevel"/>
    <w:tmpl w:val="EC481E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61ADA"/>
    <w:multiLevelType w:val="hybridMultilevel"/>
    <w:tmpl w:val="C2F82F6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AA2D66"/>
    <w:multiLevelType w:val="hybridMultilevel"/>
    <w:tmpl w:val="9FFC0DD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427E80"/>
    <w:multiLevelType w:val="hybridMultilevel"/>
    <w:tmpl w:val="708AD676"/>
    <w:name w:val="Sous-point titre (débat)"/>
    <w:lvl w:ilvl="0" w:tplc="A98E3F42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BC4A2F"/>
    <w:multiLevelType w:val="hybridMultilevel"/>
    <w:tmpl w:val="CAD6F238"/>
    <w:lvl w:ilvl="0" w:tplc="08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93E3A10"/>
    <w:multiLevelType w:val="hybridMultilevel"/>
    <w:tmpl w:val="94D8872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861017"/>
    <w:multiLevelType w:val="hybridMultilevel"/>
    <w:tmpl w:val="98848B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B4336"/>
    <w:multiLevelType w:val="hybridMultilevel"/>
    <w:tmpl w:val="53DEBBDA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E6455F"/>
    <w:multiLevelType w:val="hybridMultilevel"/>
    <w:tmpl w:val="DEC6CBAA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4A23C3"/>
    <w:multiLevelType w:val="hybridMultilevel"/>
    <w:tmpl w:val="336AB4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47F26"/>
    <w:multiLevelType w:val="hybridMultilevel"/>
    <w:tmpl w:val="26A4D22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8A0778"/>
    <w:multiLevelType w:val="hybridMultilevel"/>
    <w:tmpl w:val="6288999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9C5A22"/>
    <w:multiLevelType w:val="multilevel"/>
    <w:tmpl w:val="4B5A0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CC90A0F"/>
    <w:multiLevelType w:val="hybridMultilevel"/>
    <w:tmpl w:val="CBAAEDD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D377203"/>
    <w:multiLevelType w:val="hybridMultilevel"/>
    <w:tmpl w:val="4FDE5CD8"/>
    <w:lvl w:ilvl="0" w:tplc="08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AA0C92"/>
    <w:multiLevelType w:val="multilevel"/>
    <w:tmpl w:val="E1065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63E41E8"/>
    <w:multiLevelType w:val="hybridMultilevel"/>
    <w:tmpl w:val="4D506A9A"/>
    <w:lvl w:ilvl="0" w:tplc="F95256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98A4519"/>
    <w:multiLevelType w:val="multilevel"/>
    <w:tmpl w:val="08B420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AD56E84"/>
    <w:multiLevelType w:val="hybridMultilevel"/>
    <w:tmpl w:val="78BC571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463B63"/>
    <w:multiLevelType w:val="hybridMultilevel"/>
    <w:tmpl w:val="FD6CB91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E34D4C"/>
    <w:multiLevelType w:val="hybridMultilevel"/>
    <w:tmpl w:val="0E7CEE9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47D52BA"/>
    <w:multiLevelType w:val="hybridMultilevel"/>
    <w:tmpl w:val="C8F8846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543E40"/>
    <w:multiLevelType w:val="hybridMultilevel"/>
    <w:tmpl w:val="9B5A332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EF2B51"/>
    <w:multiLevelType w:val="multilevel"/>
    <w:tmpl w:val="D5F497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085785E"/>
    <w:multiLevelType w:val="multilevel"/>
    <w:tmpl w:val="151C48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9D53BB"/>
    <w:multiLevelType w:val="hybridMultilevel"/>
    <w:tmpl w:val="02DE5E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30A1094"/>
    <w:multiLevelType w:val="hybridMultilevel"/>
    <w:tmpl w:val="75BAD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E32A7"/>
    <w:multiLevelType w:val="multilevel"/>
    <w:tmpl w:val="F86035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A3A4F9D"/>
    <w:multiLevelType w:val="hybridMultilevel"/>
    <w:tmpl w:val="DB643FA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9E1FD0"/>
    <w:multiLevelType w:val="hybridMultilevel"/>
    <w:tmpl w:val="6D0845C4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E0268C"/>
    <w:multiLevelType w:val="hybridMultilevel"/>
    <w:tmpl w:val="B5DE9C6E"/>
    <w:lvl w:ilvl="0" w:tplc="F6FCC25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F41325"/>
    <w:multiLevelType w:val="multilevel"/>
    <w:tmpl w:val="56960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5"/>
  </w:num>
  <w:num w:numId="10">
    <w:abstractNumId w:val="37"/>
  </w:num>
  <w:num w:numId="11">
    <w:abstractNumId w:val="28"/>
  </w:num>
  <w:num w:numId="12">
    <w:abstractNumId w:val="2"/>
  </w:num>
  <w:num w:numId="13">
    <w:abstractNumId w:val="17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6"/>
  </w:num>
  <w:num w:numId="23">
    <w:abstractNumId w:val="10"/>
  </w:num>
  <w:num w:numId="24">
    <w:abstractNumId w:val="25"/>
  </w:num>
  <w:num w:numId="25">
    <w:abstractNumId w:val="3"/>
  </w:num>
  <w:num w:numId="26">
    <w:abstractNumId w:val="6"/>
  </w:num>
  <w:num w:numId="27">
    <w:abstractNumId w:val="8"/>
  </w:num>
  <w:num w:numId="28">
    <w:abstractNumId w:val="16"/>
  </w:num>
  <w:num w:numId="29">
    <w:abstractNumId w:val="9"/>
  </w:num>
  <w:num w:numId="30">
    <w:abstractNumId w:val="11"/>
  </w:num>
  <w:num w:numId="31">
    <w:abstractNumId w:val="32"/>
  </w:num>
  <w:num w:numId="32">
    <w:abstractNumId w:val="35"/>
  </w:num>
  <w:num w:numId="33">
    <w:abstractNumId w:val="13"/>
  </w:num>
  <w:num w:numId="34">
    <w:abstractNumId w:val="29"/>
  </w:num>
  <w:num w:numId="35">
    <w:abstractNumId w:val="21"/>
  </w:num>
  <w:num w:numId="36">
    <w:abstractNumId w:val="7"/>
  </w:num>
  <w:num w:numId="37">
    <w:abstractNumId w:val="33"/>
  </w:num>
  <w:num w:numId="38">
    <w:abstractNumId w:val="18"/>
  </w:num>
  <w:num w:numId="39">
    <w:abstractNumId w:val="1"/>
  </w:num>
  <w:num w:numId="40">
    <w:abstractNumId w:val="0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64C1B"/>
    <w:rsid w:val="000018C1"/>
    <w:rsid w:val="00001F1D"/>
    <w:rsid w:val="00004490"/>
    <w:rsid w:val="00004DD0"/>
    <w:rsid w:val="0001087F"/>
    <w:rsid w:val="00011130"/>
    <w:rsid w:val="00012244"/>
    <w:rsid w:val="00012915"/>
    <w:rsid w:val="00012EC6"/>
    <w:rsid w:val="000139A6"/>
    <w:rsid w:val="00013D00"/>
    <w:rsid w:val="000158C9"/>
    <w:rsid w:val="0001674A"/>
    <w:rsid w:val="000215DA"/>
    <w:rsid w:val="00025034"/>
    <w:rsid w:val="0003075B"/>
    <w:rsid w:val="00031EE6"/>
    <w:rsid w:val="00036C96"/>
    <w:rsid w:val="00037CEA"/>
    <w:rsid w:val="00041476"/>
    <w:rsid w:val="00043180"/>
    <w:rsid w:val="00051456"/>
    <w:rsid w:val="00052DD1"/>
    <w:rsid w:val="000568FD"/>
    <w:rsid w:val="00056EDD"/>
    <w:rsid w:val="00057F02"/>
    <w:rsid w:val="00060823"/>
    <w:rsid w:val="00060DC4"/>
    <w:rsid w:val="000616BB"/>
    <w:rsid w:val="000618AA"/>
    <w:rsid w:val="00064471"/>
    <w:rsid w:val="0007076C"/>
    <w:rsid w:val="00080F7E"/>
    <w:rsid w:val="00086E8A"/>
    <w:rsid w:val="00094476"/>
    <w:rsid w:val="00095243"/>
    <w:rsid w:val="00095463"/>
    <w:rsid w:val="000A01DB"/>
    <w:rsid w:val="000A587C"/>
    <w:rsid w:val="000B071B"/>
    <w:rsid w:val="000B1071"/>
    <w:rsid w:val="000B110A"/>
    <w:rsid w:val="000B3EE0"/>
    <w:rsid w:val="000B7FF9"/>
    <w:rsid w:val="000C12B0"/>
    <w:rsid w:val="000C2A81"/>
    <w:rsid w:val="000C57C9"/>
    <w:rsid w:val="000C674A"/>
    <w:rsid w:val="000D651C"/>
    <w:rsid w:val="000D7509"/>
    <w:rsid w:val="000E4BE2"/>
    <w:rsid w:val="000F06B9"/>
    <w:rsid w:val="000F1214"/>
    <w:rsid w:val="000F2494"/>
    <w:rsid w:val="000F2BB2"/>
    <w:rsid w:val="000F4ABE"/>
    <w:rsid w:val="000F6288"/>
    <w:rsid w:val="00101100"/>
    <w:rsid w:val="0010150A"/>
    <w:rsid w:val="00103D35"/>
    <w:rsid w:val="00111580"/>
    <w:rsid w:val="00112A2E"/>
    <w:rsid w:val="00114E0C"/>
    <w:rsid w:val="00117B62"/>
    <w:rsid w:val="00121061"/>
    <w:rsid w:val="00122F58"/>
    <w:rsid w:val="00122F97"/>
    <w:rsid w:val="00130519"/>
    <w:rsid w:val="00130E13"/>
    <w:rsid w:val="00133421"/>
    <w:rsid w:val="00134E12"/>
    <w:rsid w:val="00136B15"/>
    <w:rsid w:val="00140FF5"/>
    <w:rsid w:val="00143774"/>
    <w:rsid w:val="00143E12"/>
    <w:rsid w:val="00144558"/>
    <w:rsid w:val="00147DEA"/>
    <w:rsid w:val="00155E27"/>
    <w:rsid w:val="0015607F"/>
    <w:rsid w:val="00156434"/>
    <w:rsid w:val="001615FC"/>
    <w:rsid w:val="0016235F"/>
    <w:rsid w:val="00162815"/>
    <w:rsid w:val="00164231"/>
    <w:rsid w:val="00164665"/>
    <w:rsid w:val="00165A72"/>
    <w:rsid w:val="00166240"/>
    <w:rsid w:val="00166532"/>
    <w:rsid w:val="00167464"/>
    <w:rsid w:val="0017096F"/>
    <w:rsid w:val="001716F3"/>
    <w:rsid w:val="001764E6"/>
    <w:rsid w:val="0017754C"/>
    <w:rsid w:val="0018017D"/>
    <w:rsid w:val="001801F2"/>
    <w:rsid w:val="001824FE"/>
    <w:rsid w:val="00186731"/>
    <w:rsid w:val="00190B8B"/>
    <w:rsid w:val="0019167F"/>
    <w:rsid w:val="00192462"/>
    <w:rsid w:val="001926D5"/>
    <w:rsid w:val="0019555C"/>
    <w:rsid w:val="00195FE6"/>
    <w:rsid w:val="0019727E"/>
    <w:rsid w:val="001A4FAA"/>
    <w:rsid w:val="001B27FD"/>
    <w:rsid w:val="001B43FA"/>
    <w:rsid w:val="001B7767"/>
    <w:rsid w:val="001C07B7"/>
    <w:rsid w:val="001C1A80"/>
    <w:rsid w:val="001C31A1"/>
    <w:rsid w:val="001C3A68"/>
    <w:rsid w:val="001C5D44"/>
    <w:rsid w:val="001C61CA"/>
    <w:rsid w:val="001D0C8E"/>
    <w:rsid w:val="001D15F3"/>
    <w:rsid w:val="001D29A7"/>
    <w:rsid w:val="001D5FAB"/>
    <w:rsid w:val="001D6F91"/>
    <w:rsid w:val="001D7031"/>
    <w:rsid w:val="001D7A13"/>
    <w:rsid w:val="001E0B91"/>
    <w:rsid w:val="001E4654"/>
    <w:rsid w:val="001F3714"/>
    <w:rsid w:val="001F4979"/>
    <w:rsid w:val="001F6943"/>
    <w:rsid w:val="001F6EA8"/>
    <w:rsid w:val="00200F02"/>
    <w:rsid w:val="00205D0E"/>
    <w:rsid w:val="002078F3"/>
    <w:rsid w:val="00207F94"/>
    <w:rsid w:val="00210157"/>
    <w:rsid w:val="00215EBF"/>
    <w:rsid w:val="002162CE"/>
    <w:rsid w:val="00217074"/>
    <w:rsid w:val="002201B4"/>
    <w:rsid w:val="00220690"/>
    <w:rsid w:val="00221E3F"/>
    <w:rsid w:val="00222BA8"/>
    <w:rsid w:val="00223086"/>
    <w:rsid w:val="002238DA"/>
    <w:rsid w:val="00225474"/>
    <w:rsid w:val="002273E0"/>
    <w:rsid w:val="002314F1"/>
    <w:rsid w:val="002325E2"/>
    <w:rsid w:val="002334D5"/>
    <w:rsid w:val="002339AE"/>
    <w:rsid w:val="0023480C"/>
    <w:rsid w:val="00235878"/>
    <w:rsid w:val="00237106"/>
    <w:rsid w:val="00237D55"/>
    <w:rsid w:val="00241091"/>
    <w:rsid w:val="00244A9E"/>
    <w:rsid w:val="002464D5"/>
    <w:rsid w:val="0024703F"/>
    <w:rsid w:val="00250375"/>
    <w:rsid w:val="00252711"/>
    <w:rsid w:val="00254246"/>
    <w:rsid w:val="00254267"/>
    <w:rsid w:val="00260956"/>
    <w:rsid w:val="00262576"/>
    <w:rsid w:val="002638D2"/>
    <w:rsid w:val="00265A37"/>
    <w:rsid w:val="00265A8F"/>
    <w:rsid w:val="002665DA"/>
    <w:rsid w:val="00266BC0"/>
    <w:rsid w:val="00267C30"/>
    <w:rsid w:val="00270CF5"/>
    <w:rsid w:val="0027152B"/>
    <w:rsid w:val="00272459"/>
    <w:rsid w:val="00272FF2"/>
    <w:rsid w:val="00276C6F"/>
    <w:rsid w:val="00280E1E"/>
    <w:rsid w:val="00282A41"/>
    <w:rsid w:val="00285212"/>
    <w:rsid w:val="002860FF"/>
    <w:rsid w:val="002872EB"/>
    <w:rsid w:val="00290C54"/>
    <w:rsid w:val="00293FF4"/>
    <w:rsid w:val="00295004"/>
    <w:rsid w:val="0029581C"/>
    <w:rsid w:val="00297086"/>
    <w:rsid w:val="002A1728"/>
    <w:rsid w:val="002A1927"/>
    <w:rsid w:val="002A3B6E"/>
    <w:rsid w:val="002A3EE6"/>
    <w:rsid w:val="002A5C57"/>
    <w:rsid w:val="002A783B"/>
    <w:rsid w:val="002A7C8E"/>
    <w:rsid w:val="002B2601"/>
    <w:rsid w:val="002B2B13"/>
    <w:rsid w:val="002B3119"/>
    <w:rsid w:val="002B5EB3"/>
    <w:rsid w:val="002C2726"/>
    <w:rsid w:val="002C3316"/>
    <w:rsid w:val="002C41E5"/>
    <w:rsid w:val="002C45C9"/>
    <w:rsid w:val="002C4916"/>
    <w:rsid w:val="002D7965"/>
    <w:rsid w:val="002E049B"/>
    <w:rsid w:val="002E0624"/>
    <w:rsid w:val="002E3CA7"/>
    <w:rsid w:val="002E4AA5"/>
    <w:rsid w:val="002E5C25"/>
    <w:rsid w:val="002E75F9"/>
    <w:rsid w:val="002F205B"/>
    <w:rsid w:val="002F4895"/>
    <w:rsid w:val="002F51F5"/>
    <w:rsid w:val="002F685C"/>
    <w:rsid w:val="002F7D60"/>
    <w:rsid w:val="0030124F"/>
    <w:rsid w:val="00301991"/>
    <w:rsid w:val="003024F0"/>
    <w:rsid w:val="0030307D"/>
    <w:rsid w:val="00304306"/>
    <w:rsid w:val="00304472"/>
    <w:rsid w:val="00305488"/>
    <w:rsid w:val="00307D42"/>
    <w:rsid w:val="00312DA7"/>
    <w:rsid w:val="00313959"/>
    <w:rsid w:val="00314A7B"/>
    <w:rsid w:val="00317644"/>
    <w:rsid w:val="00317986"/>
    <w:rsid w:val="003211D3"/>
    <w:rsid w:val="00321A25"/>
    <w:rsid w:val="0032418E"/>
    <w:rsid w:val="00324897"/>
    <w:rsid w:val="00325CC0"/>
    <w:rsid w:val="003265A6"/>
    <w:rsid w:val="0032700A"/>
    <w:rsid w:val="00334F08"/>
    <w:rsid w:val="00335B3B"/>
    <w:rsid w:val="003406BC"/>
    <w:rsid w:val="003407F0"/>
    <w:rsid w:val="00341874"/>
    <w:rsid w:val="003444DB"/>
    <w:rsid w:val="0034718B"/>
    <w:rsid w:val="00352DF8"/>
    <w:rsid w:val="00354679"/>
    <w:rsid w:val="00355B0D"/>
    <w:rsid w:val="00355D98"/>
    <w:rsid w:val="00357B1D"/>
    <w:rsid w:val="00365F8C"/>
    <w:rsid w:val="00367BF7"/>
    <w:rsid w:val="0037041C"/>
    <w:rsid w:val="00371204"/>
    <w:rsid w:val="00372629"/>
    <w:rsid w:val="003733CE"/>
    <w:rsid w:val="00373545"/>
    <w:rsid w:val="00375E20"/>
    <w:rsid w:val="003848BB"/>
    <w:rsid w:val="00390F8A"/>
    <w:rsid w:val="00392954"/>
    <w:rsid w:val="003A153C"/>
    <w:rsid w:val="003A4A56"/>
    <w:rsid w:val="003A5539"/>
    <w:rsid w:val="003A5852"/>
    <w:rsid w:val="003A625C"/>
    <w:rsid w:val="003A64D7"/>
    <w:rsid w:val="003B14CA"/>
    <w:rsid w:val="003B1F39"/>
    <w:rsid w:val="003B22D0"/>
    <w:rsid w:val="003B2551"/>
    <w:rsid w:val="003C052F"/>
    <w:rsid w:val="003C0961"/>
    <w:rsid w:val="003C1623"/>
    <w:rsid w:val="003C25FF"/>
    <w:rsid w:val="003C345B"/>
    <w:rsid w:val="003C34A5"/>
    <w:rsid w:val="003C5E17"/>
    <w:rsid w:val="003D002D"/>
    <w:rsid w:val="003D1602"/>
    <w:rsid w:val="003D46A4"/>
    <w:rsid w:val="003D4B50"/>
    <w:rsid w:val="003D724C"/>
    <w:rsid w:val="003D7840"/>
    <w:rsid w:val="003D7CF6"/>
    <w:rsid w:val="003E138C"/>
    <w:rsid w:val="003E16FD"/>
    <w:rsid w:val="003E21FE"/>
    <w:rsid w:val="003E2CCC"/>
    <w:rsid w:val="003E306C"/>
    <w:rsid w:val="003F0E8C"/>
    <w:rsid w:val="003F1299"/>
    <w:rsid w:val="003F1380"/>
    <w:rsid w:val="003F2451"/>
    <w:rsid w:val="003F29E9"/>
    <w:rsid w:val="004009F7"/>
    <w:rsid w:val="0040363A"/>
    <w:rsid w:val="0041048C"/>
    <w:rsid w:val="00412AB5"/>
    <w:rsid w:val="00413B89"/>
    <w:rsid w:val="00415707"/>
    <w:rsid w:val="004174D0"/>
    <w:rsid w:val="00420C42"/>
    <w:rsid w:val="00420CA1"/>
    <w:rsid w:val="0042177A"/>
    <w:rsid w:val="00421A7D"/>
    <w:rsid w:val="004223A6"/>
    <w:rsid w:val="00423BF4"/>
    <w:rsid w:val="004256AF"/>
    <w:rsid w:val="00432068"/>
    <w:rsid w:val="00435B23"/>
    <w:rsid w:val="00435E6F"/>
    <w:rsid w:val="00437FD8"/>
    <w:rsid w:val="00444E5D"/>
    <w:rsid w:val="00445665"/>
    <w:rsid w:val="00445B5D"/>
    <w:rsid w:val="00447440"/>
    <w:rsid w:val="00452F63"/>
    <w:rsid w:val="0045355A"/>
    <w:rsid w:val="004539AD"/>
    <w:rsid w:val="004558E4"/>
    <w:rsid w:val="00457F01"/>
    <w:rsid w:val="00457F96"/>
    <w:rsid w:val="004610EE"/>
    <w:rsid w:val="0046119A"/>
    <w:rsid w:val="00461C90"/>
    <w:rsid w:val="00464C53"/>
    <w:rsid w:val="00466361"/>
    <w:rsid w:val="00467BFF"/>
    <w:rsid w:val="0047188B"/>
    <w:rsid w:val="0047251A"/>
    <w:rsid w:val="004730BF"/>
    <w:rsid w:val="004755E8"/>
    <w:rsid w:val="00477A37"/>
    <w:rsid w:val="004813AC"/>
    <w:rsid w:val="0048290D"/>
    <w:rsid w:val="00483B97"/>
    <w:rsid w:val="0048731D"/>
    <w:rsid w:val="00493895"/>
    <w:rsid w:val="00493995"/>
    <w:rsid w:val="004A0B78"/>
    <w:rsid w:val="004A1D91"/>
    <w:rsid w:val="004A31FB"/>
    <w:rsid w:val="004A3277"/>
    <w:rsid w:val="004A3CC1"/>
    <w:rsid w:val="004A50BF"/>
    <w:rsid w:val="004A57CF"/>
    <w:rsid w:val="004A685D"/>
    <w:rsid w:val="004A7B6C"/>
    <w:rsid w:val="004B182B"/>
    <w:rsid w:val="004B3664"/>
    <w:rsid w:val="004B60F0"/>
    <w:rsid w:val="004C00C5"/>
    <w:rsid w:val="004C3247"/>
    <w:rsid w:val="004C4EB4"/>
    <w:rsid w:val="004D0E3A"/>
    <w:rsid w:val="004D1D72"/>
    <w:rsid w:val="004D3816"/>
    <w:rsid w:val="004D4420"/>
    <w:rsid w:val="004D4A44"/>
    <w:rsid w:val="004D6A57"/>
    <w:rsid w:val="004E21FD"/>
    <w:rsid w:val="004E30E4"/>
    <w:rsid w:val="004E41C8"/>
    <w:rsid w:val="004E4C33"/>
    <w:rsid w:val="004E6385"/>
    <w:rsid w:val="004F168F"/>
    <w:rsid w:val="004F3C16"/>
    <w:rsid w:val="00501262"/>
    <w:rsid w:val="00507480"/>
    <w:rsid w:val="00513FE7"/>
    <w:rsid w:val="00523763"/>
    <w:rsid w:val="00523873"/>
    <w:rsid w:val="00524683"/>
    <w:rsid w:val="00526022"/>
    <w:rsid w:val="005276CA"/>
    <w:rsid w:val="00530BC7"/>
    <w:rsid w:val="00531F54"/>
    <w:rsid w:val="00531F80"/>
    <w:rsid w:val="00533B8B"/>
    <w:rsid w:val="005345F8"/>
    <w:rsid w:val="00534F38"/>
    <w:rsid w:val="0053505B"/>
    <w:rsid w:val="00536858"/>
    <w:rsid w:val="00537C43"/>
    <w:rsid w:val="00537DEB"/>
    <w:rsid w:val="00542465"/>
    <w:rsid w:val="00543187"/>
    <w:rsid w:val="0054472F"/>
    <w:rsid w:val="0055019B"/>
    <w:rsid w:val="00552F31"/>
    <w:rsid w:val="0055389F"/>
    <w:rsid w:val="00555505"/>
    <w:rsid w:val="00555F20"/>
    <w:rsid w:val="00556FBB"/>
    <w:rsid w:val="00560DAC"/>
    <w:rsid w:val="0056194C"/>
    <w:rsid w:val="00563483"/>
    <w:rsid w:val="00565ADB"/>
    <w:rsid w:val="00567030"/>
    <w:rsid w:val="005707E5"/>
    <w:rsid w:val="00571ADE"/>
    <w:rsid w:val="005776BB"/>
    <w:rsid w:val="00577F4D"/>
    <w:rsid w:val="00580AD6"/>
    <w:rsid w:val="00580E28"/>
    <w:rsid w:val="00582271"/>
    <w:rsid w:val="005829CE"/>
    <w:rsid w:val="005842EF"/>
    <w:rsid w:val="00586FE4"/>
    <w:rsid w:val="005901A0"/>
    <w:rsid w:val="0059103D"/>
    <w:rsid w:val="00593A05"/>
    <w:rsid w:val="00595CDE"/>
    <w:rsid w:val="0059650D"/>
    <w:rsid w:val="0059707E"/>
    <w:rsid w:val="005A14A8"/>
    <w:rsid w:val="005A4856"/>
    <w:rsid w:val="005B3384"/>
    <w:rsid w:val="005B5E56"/>
    <w:rsid w:val="005B7F26"/>
    <w:rsid w:val="005C519D"/>
    <w:rsid w:val="005C5B81"/>
    <w:rsid w:val="005D092E"/>
    <w:rsid w:val="005D116C"/>
    <w:rsid w:val="005D41E1"/>
    <w:rsid w:val="005D5C09"/>
    <w:rsid w:val="005D5C59"/>
    <w:rsid w:val="005D690A"/>
    <w:rsid w:val="005E29D6"/>
    <w:rsid w:val="005E33AF"/>
    <w:rsid w:val="005E630D"/>
    <w:rsid w:val="005F4859"/>
    <w:rsid w:val="005F688A"/>
    <w:rsid w:val="005F6DAB"/>
    <w:rsid w:val="005F7B6B"/>
    <w:rsid w:val="006053BF"/>
    <w:rsid w:val="00607D4D"/>
    <w:rsid w:val="00612132"/>
    <w:rsid w:val="00614C94"/>
    <w:rsid w:val="00621962"/>
    <w:rsid w:val="00621E90"/>
    <w:rsid w:val="00622844"/>
    <w:rsid w:val="006255A1"/>
    <w:rsid w:val="00630334"/>
    <w:rsid w:val="00632FF5"/>
    <w:rsid w:val="00636F71"/>
    <w:rsid w:val="0064140E"/>
    <w:rsid w:val="0064391A"/>
    <w:rsid w:val="00645811"/>
    <w:rsid w:val="00651AEF"/>
    <w:rsid w:val="006530CC"/>
    <w:rsid w:val="00653239"/>
    <w:rsid w:val="00655906"/>
    <w:rsid w:val="006572BA"/>
    <w:rsid w:val="0065756D"/>
    <w:rsid w:val="0065775F"/>
    <w:rsid w:val="00657B0C"/>
    <w:rsid w:val="006603A2"/>
    <w:rsid w:val="00660BE2"/>
    <w:rsid w:val="00661240"/>
    <w:rsid w:val="0066139F"/>
    <w:rsid w:val="0066232A"/>
    <w:rsid w:val="006627AA"/>
    <w:rsid w:val="006670BD"/>
    <w:rsid w:val="0067050B"/>
    <w:rsid w:val="00670C55"/>
    <w:rsid w:val="00680594"/>
    <w:rsid w:val="00680933"/>
    <w:rsid w:val="0068190C"/>
    <w:rsid w:val="006825C3"/>
    <w:rsid w:val="00682BF5"/>
    <w:rsid w:val="00682C63"/>
    <w:rsid w:val="0068755A"/>
    <w:rsid w:val="006875FB"/>
    <w:rsid w:val="00690DC6"/>
    <w:rsid w:val="00691ADC"/>
    <w:rsid w:val="006920A8"/>
    <w:rsid w:val="00692FFE"/>
    <w:rsid w:val="00693454"/>
    <w:rsid w:val="0069592A"/>
    <w:rsid w:val="00695CC7"/>
    <w:rsid w:val="0069715A"/>
    <w:rsid w:val="0069784E"/>
    <w:rsid w:val="00697AD5"/>
    <w:rsid w:val="006A1476"/>
    <w:rsid w:val="006A16B6"/>
    <w:rsid w:val="006A2074"/>
    <w:rsid w:val="006A251C"/>
    <w:rsid w:val="006A2586"/>
    <w:rsid w:val="006A5462"/>
    <w:rsid w:val="006A6179"/>
    <w:rsid w:val="006A68B4"/>
    <w:rsid w:val="006A793C"/>
    <w:rsid w:val="006B0214"/>
    <w:rsid w:val="006B1370"/>
    <w:rsid w:val="006B15EB"/>
    <w:rsid w:val="006B186A"/>
    <w:rsid w:val="006B573E"/>
    <w:rsid w:val="006B71EC"/>
    <w:rsid w:val="006C167B"/>
    <w:rsid w:val="006C1F19"/>
    <w:rsid w:val="006C6765"/>
    <w:rsid w:val="006D0CC5"/>
    <w:rsid w:val="006D3F87"/>
    <w:rsid w:val="006D6F3D"/>
    <w:rsid w:val="006D72AC"/>
    <w:rsid w:val="006E57A0"/>
    <w:rsid w:val="006F3E51"/>
    <w:rsid w:val="006F5A7B"/>
    <w:rsid w:val="006F71BC"/>
    <w:rsid w:val="006F79EE"/>
    <w:rsid w:val="007029D6"/>
    <w:rsid w:val="00704960"/>
    <w:rsid w:val="00704AAA"/>
    <w:rsid w:val="007053A9"/>
    <w:rsid w:val="007063AA"/>
    <w:rsid w:val="007100E1"/>
    <w:rsid w:val="007100F2"/>
    <w:rsid w:val="0071129F"/>
    <w:rsid w:val="007137D4"/>
    <w:rsid w:val="00714963"/>
    <w:rsid w:val="007170B5"/>
    <w:rsid w:val="0072306B"/>
    <w:rsid w:val="0072382A"/>
    <w:rsid w:val="00725409"/>
    <w:rsid w:val="0073471E"/>
    <w:rsid w:val="007356C7"/>
    <w:rsid w:val="007359D1"/>
    <w:rsid w:val="007406A7"/>
    <w:rsid w:val="00740F79"/>
    <w:rsid w:val="00741DB9"/>
    <w:rsid w:val="00745DEC"/>
    <w:rsid w:val="007478E4"/>
    <w:rsid w:val="0074790E"/>
    <w:rsid w:val="00747CED"/>
    <w:rsid w:val="007513F4"/>
    <w:rsid w:val="00753A0B"/>
    <w:rsid w:val="00760150"/>
    <w:rsid w:val="007606A3"/>
    <w:rsid w:val="00760E5E"/>
    <w:rsid w:val="00764532"/>
    <w:rsid w:val="0076458B"/>
    <w:rsid w:val="007668AC"/>
    <w:rsid w:val="007677B9"/>
    <w:rsid w:val="0077081F"/>
    <w:rsid w:val="00774C55"/>
    <w:rsid w:val="0077598D"/>
    <w:rsid w:val="00776E8E"/>
    <w:rsid w:val="007777FD"/>
    <w:rsid w:val="007823FD"/>
    <w:rsid w:val="00785117"/>
    <w:rsid w:val="00785677"/>
    <w:rsid w:val="0079296E"/>
    <w:rsid w:val="00792DB5"/>
    <w:rsid w:val="00795C19"/>
    <w:rsid w:val="0079612C"/>
    <w:rsid w:val="0079729A"/>
    <w:rsid w:val="00797D2F"/>
    <w:rsid w:val="007A019C"/>
    <w:rsid w:val="007A1CCB"/>
    <w:rsid w:val="007A5306"/>
    <w:rsid w:val="007B2E2C"/>
    <w:rsid w:val="007B2E8E"/>
    <w:rsid w:val="007B37B4"/>
    <w:rsid w:val="007B3CE0"/>
    <w:rsid w:val="007C54E8"/>
    <w:rsid w:val="007C698B"/>
    <w:rsid w:val="007D091C"/>
    <w:rsid w:val="007D1EFB"/>
    <w:rsid w:val="007D22EB"/>
    <w:rsid w:val="007D23EE"/>
    <w:rsid w:val="007E12A8"/>
    <w:rsid w:val="007E2977"/>
    <w:rsid w:val="007E755D"/>
    <w:rsid w:val="007F0996"/>
    <w:rsid w:val="007F14BA"/>
    <w:rsid w:val="007F1737"/>
    <w:rsid w:val="007F3245"/>
    <w:rsid w:val="007F3B04"/>
    <w:rsid w:val="007F6838"/>
    <w:rsid w:val="0080126D"/>
    <w:rsid w:val="008014DB"/>
    <w:rsid w:val="00801B9E"/>
    <w:rsid w:val="00815E8D"/>
    <w:rsid w:val="00820850"/>
    <w:rsid w:val="008221D2"/>
    <w:rsid w:val="008259A4"/>
    <w:rsid w:val="00825E28"/>
    <w:rsid w:val="00827BEE"/>
    <w:rsid w:val="00832309"/>
    <w:rsid w:val="008326B5"/>
    <w:rsid w:val="00832A84"/>
    <w:rsid w:val="008343A5"/>
    <w:rsid w:val="0083540B"/>
    <w:rsid w:val="0084386E"/>
    <w:rsid w:val="00847115"/>
    <w:rsid w:val="008477E2"/>
    <w:rsid w:val="008523C1"/>
    <w:rsid w:val="008533D0"/>
    <w:rsid w:val="00854A97"/>
    <w:rsid w:val="00860157"/>
    <w:rsid w:val="0086057F"/>
    <w:rsid w:val="00860622"/>
    <w:rsid w:val="0086138B"/>
    <w:rsid w:val="008638E4"/>
    <w:rsid w:val="00865760"/>
    <w:rsid w:val="00866853"/>
    <w:rsid w:val="00872207"/>
    <w:rsid w:val="008733E0"/>
    <w:rsid w:val="0087385E"/>
    <w:rsid w:val="008751EA"/>
    <w:rsid w:val="00875703"/>
    <w:rsid w:val="0087589F"/>
    <w:rsid w:val="00880FA1"/>
    <w:rsid w:val="00882B07"/>
    <w:rsid w:val="008834BD"/>
    <w:rsid w:val="00884D37"/>
    <w:rsid w:val="008859BB"/>
    <w:rsid w:val="00886B31"/>
    <w:rsid w:val="00891566"/>
    <w:rsid w:val="00894208"/>
    <w:rsid w:val="0089729E"/>
    <w:rsid w:val="008A0037"/>
    <w:rsid w:val="008A1615"/>
    <w:rsid w:val="008A24A0"/>
    <w:rsid w:val="008A31DB"/>
    <w:rsid w:val="008B190F"/>
    <w:rsid w:val="008B345E"/>
    <w:rsid w:val="008B7A1B"/>
    <w:rsid w:val="008C405F"/>
    <w:rsid w:val="008D0F12"/>
    <w:rsid w:val="008D1484"/>
    <w:rsid w:val="008D4D7D"/>
    <w:rsid w:val="008D54A7"/>
    <w:rsid w:val="008D7815"/>
    <w:rsid w:val="008E5A3A"/>
    <w:rsid w:val="008E62C5"/>
    <w:rsid w:val="008E6423"/>
    <w:rsid w:val="008E6AC3"/>
    <w:rsid w:val="008F064A"/>
    <w:rsid w:val="008F09BA"/>
    <w:rsid w:val="008F18AE"/>
    <w:rsid w:val="008F257B"/>
    <w:rsid w:val="008F3F6D"/>
    <w:rsid w:val="008F7B4F"/>
    <w:rsid w:val="0090189D"/>
    <w:rsid w:val="0090289A"/>
    <w:rsid w:val="00904E1F"/>
    <w:rsid w:val="0090763C"/>
    <w:rsid w:val="00914472"/>
    <w:rsid w:val="00915D7E"/>
    <w:rsid w:val="0091650F"/>
    <w:rsid w:val="00916DEA"/>
    <w:rsid w:val="0092457B"/>
    <w:rsid w:val="0092741F"/>
    <w:rsid w:val="00927521"/>
    <w:rsid w:val="00931E47"/>
    <w:rsid w:val="00932462"/>
    <w:rsid w:val="009327D5"/>
    <w:rsid w:val="009332DF"/>
    <w:rsid w:val="0093361B"/>
    <w:rsid w:val="009338FA"/>
    <w:rsid w:val="00934070"/>
    <w:rsid w:val="0093641D"/>
    <w:rsid w:val="009371B7"/>
    <w:rsid w:val="00940221"/>
    <w:rsid w:val="0094389A"/>
    <w:rsid w:val="00943A65"/>
    <w:rsid w:val="00945E5A"/>
    <w:rsid w:val="0095411D"/>
    <w:rsid w:val="00955EC9"/>
    <w:rsid w:val="0095728B"/>
    <w:rsid w:val="0095789E"/>
    <w:rsid w:val="00962D5D"/>
    <w:rsid w:val="00964DC6"/>
    <w:rsid w:val="009668E2"/>
    <w:rsid w:val="00973029"/>
    <w:rsid w:val="009746B7"/>
    <w:rsid w:val="0097734A"/>
    <w:rsid w:val="0098264A"/>
    <w:rsid w:val="00983A3B"/>
    <w:rsid w:val="00990EB6"/>
    <w:rsid w:val="00990EDD"/>
    <w:rsid w:val="00992A63"/>
    <w:rsid w:val="009A0EB5"/>
    <w:rsid w:val="009A253C"/>
    <w:rsid w:val="009A385D"/>
    <w:rsid w:val="009A5DF1"/>
    <w:rsid w:val="009A781D"/>
    <w:rsid w:val="009A7A30"/>
    <w:rsid w:val="009B2A71"/>
    <w:rsid w:val="009B5DB1"/>
    <w:rsid w:val="009B7558"/>
    <w:rsid w:val="009C12F7"/>
    <w:rsid w:val="009C13C5"/>
    <w:rsid w:val="009C5C5C"/>
    <w:rsid w:val="009D474B"/>
    <w:rsid w:val="009D6E4B"/>
    <w:rsid w:val="009E22EE"/>
    <w:rsid w:val="009E2A02"/>
    <w:rsid w:val="009E2CAA"/>
    <w:rsid w:val="009E30BF"/>
    <w:rsid w:val="009E3FF0"/>
    <w:rsid w:val="009E6A9F"/>
    <w:rsid w:val="009E771D"/>
    <w:rsid w:val="009E7E6C"/>
    <w:rsid w:val="009F0899"/>
    <w:rsid w:val="009F1179"/>
    <w:rsid w:val="009F23BE"/>
    <w:rsid w:val="009F3941"/>
    <w:rsid w:val="009F40D4"/>
    <w:rsid w:val="009F6588"/>
    <w:rsid w:val="009F7F09"/>
    <w:rsid w:val="00A00A57"/>
    <w:rsid w:val="00A0235B"/>
    <w:rsid w:val="00A0588E"/>
    <w:rsid w:val="00A06E4C"/>
    <w:rsid w:val="00A0796E"/>
    <w:rsid w:val="00A103AF"/>
    <w:rsid w:val="00A133AD"/>
    <w:rsid w:val="00A15E9A"/>
    <w:rsid w:val="00A1783A"/>
    <w:rsid w:val="00A22C6B"/>
    <w:rsid w:val="00A248FF"/>
    <w:rsid w:val="00A26BD6"/>
    <w:rsid w:val="00A26E8D"/>
    <w:rsid w:val="00A32B28"/>
    <w:rsid w:val="00A35BD7"/>
    <w:rsid w:val="00A42625"/>
    <w:rsid w:val="00A43DFA"/>
    <w:rsid w:val="00A4663C"/>
    <w:rsid w:val="00A47D35"/>
    <w:rsid w:val="00A5093C"/>
    <w:rsid w:val="00A54BBE"/>
    <w:rsid w:val="00A55FCD"/>
    <w:rsid w:val="00A63A2A"/>
    <w:rsid w:val="00A71392"/>
    <w:rsid w:val="00A76D33"/>
    <w:rsid w:val="00A7753B"/>
    <w:rsid w:val="00A777EA"/>
    <w:rsid w:val="00A809C1"/>
    <w:rsid w:val="00A81229"/>
    <w:rsid w:val="00A83DCF"/>
    <w:rsid w:val="00A870AB"/>
    <w:rsid w:val="00A90E36"/>
    <w:rsid w:val="00A9172F"/>
    <w:rsid w:val="00A92CCF"/>
    <w:rsid w:val="00A93DEE"/>
    <w:rsid w:val="00A96BC7"/>
    <w:rsid w:val="00A9759A"/>
    <w:rsid w:val="00AA1850"/>
    <w:rsid w:val="00AA2463"/>
    <w:rsid w:val="00AA2CA1"/>
    <w:rsid w:val="00AA651D"/>
    <w:rsid w:val="00AB7F73"/>
    <w:rsid w:val="00AC1376"/>
    <w:rsid w:val="00AC1F6F"/>
    <w:rsid w:val="00AC4F1A"/>
    <w:rsid w:val="00AD3A01"/>
    <w:rsid w:val="00AD695A"/>
    <w:rsid w:val="00AD6F7A"/>
    <w:rsid w:val="00AE4EF3"/>
    <w:rsid w:val="00AE67A1"/>
    <w:rsid w:val="00AF111C"/>
    <w:rsid w:val="00AF37C5"/>
    <w:rsid w:val="00AF70DA"/>
    <w:rsid w:val="00B03E37"/>
    <w:rsid w:val="00B058B4"/>
    <w:rsid w:val="00B0628B"/>
    <w:rsid w:val="00B116AE"/>
    <w:rsid w:val="00B13E75"/>
    <w:rsid w:val="00B13EC6"/>
    <w:rsid w:val="00B14D86"/>
    <w:rsid w:val="00B153F2"/>
    <w:rsid w:val="00B17375"/>
    <w:rsid w:val="00B30EF1"/>
    <w:rsid w:val="00B30F32"/>
    <w:rsid w:val="00B36F97"/>
    <w:rsid w:val="00B40738"/>
    <w:rsid w:val="00B40B95"/>
    <w:rsid w:val="00B410D8"/>
    <w:rsid w:val="00B457B1"/>
    <w:rsid w:val="00B50781"/>
    <w:rsid w:val="00B51C11"/>
    <w:rsid w:val="00B52687"/>
    <w:rsid w:val="00B54AC7"/>
    <w:rsid w:val="00B579D9"/>
    <w:rsid w:val="00B63024"/>
    <w:rsid w:val="00B642BF"/>
    <w:rsid w:val="00B65E3F"/>
    <w:rsid w:val="00B66DB3"/>
    <w:rsid w:val="00B67EAA"/>
    <w:rsid w:val="00B70CC1"/>
    <w:rsid w:val="00B75373"/>
    <w:rsid w:val="00B805BC"/>
    <w:rsid w:val="00B81249"/>
    <w:rsid w:val="00B819FF"/>
    <w:rsid w:val="00B844C9"/>
    <w:rsid w:val="00B862BD"/>
    <w:rsid w:val="00B96AB4"/>
    <w:rsid w:val="00BA4C2C"/>
    <w:rsid w:val="00BA61F1"/>
    <w:rsid w:val="00BA7726"/>
    <w:rsid w:val="00BA7C2D"/>
    <w:rsid w:val="00BA7D3D"/>
    <w:rsid w:val="00BB2A62"/>
    <w:rsid w:val="00BB459A"/>
    <w:rsid w:val="00BB5A2B"/>
    <w:rsid w:val="00BB73AD"/>
    <w:rsid w:val="00BC0456"/>
    <w:rsid w:val="00BC4828"/>
    <w:rsid w:val="00BC5ED7"/>
    <w:rsid w:val="00BC637A"/>
    <w:rsid w:val="00BC6AFF"/>
    <w:rsid w:val="00BD0C10"/>
    <w:rsid w:val="00BD1CA8"/>
    <w:rsid w:val="00BD31F0"/>
    <w:rsid w:val="00BD482B"/>
    <w:rsid w:val="00BD5EF6"/>
    <w:rsid w:val="00BD7849"/>
    <w:rsid w:val="00BE0615"/>
    <w:rsid w:val="00BE1836"/>
    <w:rsid w:val="00BE360E"/>
    <w:rsid w:val="00BE3A48"/>
    <w:rsid w:val="00BE422C"/>
    <w:rsid w:val="00BE4896"/>
    <w:rsid w:val="00BE4E54"/>
    <w:rsid w:val="00BE6B21"/>
    <w:rsid w:val="00BF0052"/>
    <w:rsid w:val="00BF0469"/>
    <w:rsid w:val="00BF3968"/>
    <w:rsid w:val="00BF50A7"/>
    <w:rsid w:val="00BF699F"/>
    <w:rsid w:val="00BF735C"/>
    <w:rsid w:val="00BF7AF2"/>
    <w:rsid w:val="00BF7DDF"/>
    <w:rsid w:val="00C00396"/>
    <w:rsid w:val="00C008B3"/>
    <w:rsid w:val="00C00BB4"/>
    <w:rsid w:val="00C066D2"/>
    <w:rsid w:val="00C07C71"/>
    <w:rsid w:val="00C115C3"/>
    <w:rsid w:val="00C13213"/>
    <w:rsid w:val="00C136A7"/>
    <w:rsid w:val="00C14AC6"/>
    <w:rsid w:val="00C151DB"/>
    <w:rsid w:val="00C1538D"/>
    <w:rsid w:val="00C16348"/>
    <w:rsid w:val="00C1683E"/>
    <w:rsid w:val="00C2303E"/>
    <w:rsid w:val="00C26B70"/>
    <w:rsid w:val="00C30E93"/>
    <w:rsid w:val="00C329CC"/>
    <w:rsid w:val="00C3342F"/>
    <w:rsid w:val="00C34688"/>
    <w:rsid w:val="00C34869"/>
    <w:rsid w:val="00C36BCD"/>
    <w:rsid w:val="00C40485"/>
    <w:rsid w:val="00C40A44"/>
    <w:rsid w:val="00C414CE"/>
    <w:rsid w:val="00C45FD5"/>
    <w:rsid w:val="00C51CEF"/>
    <w:rsid w:val="00C532E0"/>
    <w:rsid w:val="00C535B1"/>
    <w:rsid w:val="00C56118"/>
    <w:rsid w:val="00C563D5"/>
    <w:rsid w:val="00C575AC"/>
    <w:rsid w:val="00C6061C"/>
    <w:rsid w:val="00C60DC4"/>
    <w:rsid w:val="00C6180D"/>
    <w:rsid w:val="00C675C9"/>
    <w:rsid w:val="00C6799F"/>
    <w:rsid w:val="00C702F4"/>
    <w:rsid w:val="00C73899"/>
    <w:rsid w:val="00C84DAF"/>
    <w:rsid w:val="00C87691"/>
    <w:rsid w:val="00C90F9F"/>
    <w:rsid w:val="00C959F8"/>
    <w:rsid w:val="00C96114"/>
    <w:rsid w:val="00CA2CAE"/>
    <w:rsid w:val="00CA5F7C"/>
    <w:rsid w:val="00CA7CAC"/>
    <w:rsid w:val="00CA7EE5"/>
    <w:rsid w:val="00CB202F"/>
    <w:rsid w:val="00CB4E50"/>
    <w:rsid w:val="00CB5B9A"/>
    <w:rsid w:val="00CB6E51"/>
    <w:rsid w:val="00CC19E9"/>
    <w:rsid w:val="00CC1D45"/>
    <w:rsid w:val="00CC2D8E"/>
    <w:rsid w:val="00CC3907"/>
    <w:rsid w:val="00CC485B"/>
    <w:rsid w:val="00CC591F"/>
    <w:rsid w:val="00CC62C6"/>
    <w:rsid w:val="00CC6939"/>
    <w:rsid w:val="00CD362A"/>
    <w:rsid w:val="00CD4061"/>
    <w:rsid w:val="00CD5913"/>
    <w:rsid w:val="00CD5CE4"/>
    <w:rsid w:val="00CE5A87"/>
    <w:rsid w:val="00CE7B32"/>
    <w:rsid w:val="00CE7E5D"/>
    <w:rsid w:val="00CF0211"/>
    <w:rsid w:val="00CF0A11"/>
    <w:rsid w:val="00CF1C04"/>
    <w:rsid w:val="00CF64C1"/>
    <w:rsid w:val="00CF6A7A"/>
    <w:rsid w:val="00CF7B61"/>
    <w:rsid w:val="00D01430"/>
    <w:rsid w:val="00D10643"/>
    <w:rsid w:val="00D10B4C"/>
    <w:rsid w:val="00D12247"/>
    <w:rsid w:val="00D17600"/>
    <w:rsid w:val="00D2250C"/>
    <w:rsid w:val="00D2336D"/>
    <w:rsid w:val="00D2399B"/>
    <w:rsid w:val="00D25A80"/>
    <w:rsid w:val="00D2701A"/>
    <w:rsid w:val="00D30A80"/>
    <w:rsid w:val="00D329CC"/>
    <w:rsid w:val="00D33FB2"/>
    <w:rsid w:val="00D36864"/>
    <w:rsid w:val="00D37AF9"/>
    <w:rsid w:val="00D40438"/>
    <w:rsid w:val="00D40D82"/>
    <w:rsid w:val="00D4256A"/>
    <w:rsid w:val="00D42895"/>
    <w:rsid w:val="00D44328"/>
    <w:rsid w:val="00D46006"/>
    <w:rsid w:val="00D57DDC"/>
    <w:rsid w:val="00D618F6"/>
    <w:rsid w:val="00D61C0B"/>
    <w:rsid w:val="00D638DB"/>
    <w:rsid w:val="00D65259"/>
    <w:rsid w:val="00D656C1"/>
    <w:rsid w:val="00D66366"/>
    <w:rsid w:val="00D70802"/>
    <w:rsid w:val="00D73764"/>
    <w:rsid w:val="00D76404"/>
    <w:rsid w:val="00D76A61"/>
    <w:rsid w:val="00D80A8D"/>
    <w:rsid w:val="00D82062"/>
    <w:rsid w:val="00D82773"/>
    <w:rsid w:val="00D8285C"/>
    <w:rsid w:val="00D832D4"/>
    <w:rsid w:val="00D84ECE"/>
    <w:rsid w:val="00D85878"/>
    <w:rsid w:val="00D8711C"/>
    <w:rsid w:val="00D90443"/>
    <w:rsid w:val="00D90EEF"/>
    <w:rsid w:val="00D93C4F"/>
    <w:rsid w:val="00D95549"/>
    <w:rsid w:val="00D95B15"/>
    <w:rsid w:val="00DA3483"/>
    <w:rsid w:val="00DA6D84"/>
    <w:rsid w:val="00DB0A02"/>
    <w:rsid w:val="00DB49B4"/>
    <w:rsid w:val="00DB61CD"/>
    <w:rsid w:val="00DB6EC9"/>
    <w:rsid w:val="00DC04D0"/>
    <w:rsid w:val="00DC08D5"/>
    <w:rsid w:val="00DC1E73"/>
    <w:rsid w:val="00DC44CF"/>
    <w:rsid w:val="00DC767D"/>
    <w:rsid w:val="00DD0E2E"/>
    <w:rsid w:val="00DD1312"/>
    <w:rsid w:val="00DD3DAB"/>
    <w:rsid w:val="00DD4654"/>
    <w:rsid w:val="00DD46D1"/>
    <w:rsid w:val="00DE326D"/>
    <w:rsid w:val="00DE692E"/>
    <w:rsid w:val="00DE6A39"/>
    <w:rsid w:val="00DF04C3"/>
    <w:rsid w:val="00DF1542"/>
    <w:rsid w:val="00DF20F6"/>
    <w:rsid w:val="00DF5B96"/>
    <w:rsid w:val="00E026FE"/>
    <w:rsid w:val="00E028AA"/>
    <w:rsid w:val="00E0410D"/>
    <w:rsid w:val="00E054B3"/>
    <w:rsid w:val="00E064E9"/>
    <w:rsid w:val="00E078F4"/>
    <w:rsid w:val="00E07F49"/>
    <w:rsid w:val="00E16C93"/>
    <w:rsid w:val="00E172EA"/>
    <w:rsid w:val="00E202DB"/>
    <w:rsid w:val="00E2047D"/>
    <w:rsid w:val="00E207A2"/>
    <w:rsid w:val="00E21324"/>
    <w:rsid w:val="00E21675"/>
    <w:rsid w:val="00E2292C"/>
    <w:rsid w:val="00E2304C"/>
    <w:rsid w:val="00E23476"/>
    <w:rsid w:val="00E3010E"/>
    <w:rsid w:val="00E32AA3"/>
    <w:rsid w:val="00E366C2"/>
    <w:rsid w:val="00E373A1"/>
    <w:rsid w:val="00E4018B"/>
    <w:rsid w:val="00E43E9A"/>
    <w:rsid w:val="00E442BE"/>
    <w:rsid w:val="00E45661"/>
    <w:rsid w:val="00E5340F"/>
    <w:rsid w:val="00E64C1B"/>
    <w:rsid w:val="00E66A35"/>
    <w:rsid w:val="00E67B2D"/>
    <w:rsid w:val="00E70F39"/>
    <w:rsid w:val="00E74B15"/>
    <w:rsid w:val="00E74F24"/>
    <w:rsid w:val="00E8117E"/>
    <w:rsid w:val="00E825AF"/>
    <w:rsid w:val="00E83028"/>
    <w:rsid w:val="00E84F88"/>
    <w:rsid w:val="00E872C4"/>
    <w:rsid w:val="00E91188"/>
    <w:rsid w:val="00E924A5"/>
    <w:rsid w:val="00E9361B"/>
    <w:rsid w:val="00E945E8"/>
    <w:rsid w:val="00E97366"/>
    <w:rsid w:val="00E97A76"/>
    <w:rsid w:val="00EA0942"/>
    <w:rsid w:val="00EA2648"/>
    <w:rsid w:val="00EA407E"/>
    <w:rsid w:val="00EA54A1"/>
    <w:rsid w:val="00EA7551"/>
    <w:rsid w:val="00EA7789"/>
    <w:rsid w:val="00EA7FBA"/>
    <w:rsid w:val="00EB0352"/>
    <w:rsid w:val="00EB4370"/>
    <w:rsid w:val="00EB5CB0"/>
    <w:rsid w:val="00EB6172"/>
    <w:rsid w:val="00EC748F"/>
    <w:rsid w:val="00ED00AC"/>
    <w:rsid w:val="00ED0FDC"/>
    <w:rsid w:val="00ED5CA1"/>
    <w:rsid w:val="00ED65B5"/>
    <w:rsid w:val="00EE18B8"/>
    <w:rsid w:val="00EE4119"/>
    <w:rsid w:val="00EF2250"/>
    <w:rsid w:val="00EF2DCF"/>
    <w:rsid w:val="00EF4A92"/>
    <w:rsid w:val="00EF6B56"/>
    <w:rsid w:val="00F00DED"/>
    <w:rsid w:val="00F052A1"/>
    <w:rsid w:val="00F06416"/>
    <w:rsid w:val="00F0676D"/>
    <w:rsid w:val="00F06AF4"/>
    <w:rsid w:val="00F1322E"/>
    <w:rsid w:val="00F146F9"/>
    <w:rsid w:val="00F15D21"/>
    <w:rsid w:val="00F16E90"/>
    <w:rsid w:val="00F16EC1"/>
    <w:rsid w:val="00F1762F"/>
    <w:rsid w:val="00F224E6"/>
    <w:rsid w:val="00F22C32"/>
    <w:rsid w:val="00F26771"/>
    <w:rsid w:val="00F270FF"/>
    <w:rsid w:val="00F301AD"/>
    <w:rsid w:val="00F31DF9"/>
    <w:rsid w:val="00F32B04"/>
    <w:rsid w:val="00F32DF6"/>
    <w:rsid w:val="00F354EB"/>
    <w:rsid w:val="00F41FDC"/>
    <w:rsid w:val="00F43C3C"/>
    <w:rsid w:val="00F44336"/>
    <w:rsid w:val="00F47EF7"/>
    <w:rsid w:val="00F5008C"/>
    <w:rsid w:val="00F51961"/>
    <w:rsid w:val="00F51AC2"/>
    <w:rsid w:val="00F536BC"/>
    <w:rsid w:val="00F53BA1"/>
    <w:rsid w:val="00F55209"/>
    <w:rsid w:val="00F6011E"/>
    <w:rsid w:val="00F61F08"/>
    <w:rsid w:val="00F621C7"/>
    <w:rsid w:val="00F6411C"/>
    <w:rsid w:val="00F6576B"/>
    <w:rsid w:val="00F67C4D"/>
    <w:rsid w:val="00F749CF"/>
    <w:rsid w:val="00F757E5"/>
    <w:rsid w:val="00F80F83"/>
    <w:rsid w:val="00F8177E"/>
    <w:rsid w:val="00F81CBA"/>
    <w:rsid w:val="00F81CF6"/>
    <w:rsid w:val="00F8373C"/>
    <w:rsid w:val="00F86055"/>
    <w:rsid w:val="00F87B7D"/>
    <w:rsid w:val="00F90DC4"/>
    <w:rsid w:val="00F90E0F"/>
    <w:rsid w:val="00F95C88"/>
    <w:rsid w:val="00F97B2D"/>
    <w:rsid w:val="00F97C95"/>
    <w:rsid w:val="00FA0B77"/>
    <w:rsid w:val="00FA1BC2"/>
    <w:rsid w:val="00FA3FA5"/>
    <w:rsid w:val="00FA4C42"/>
    <w:rsid w:val="00FA7452"/>
    <w:rsid w:val="00FB02D3"/>
    <w:rsid w:val="00FB209A"/>
    <w:rsid w:val="00FB2349"/>
    <w:rsid w:val="00FB40EF"/>
    <w:rsid w:val="00FB46C8"/>
    <w:rsid w:val="00FB4AB7"/>
    <w:rsid w:val="00FB4E36"/>
    <w:rsid w:val="00FB4FB9"/>
    <w:rsid w:val="00FB5DCF"/>
    <w:rsid w:val="00FB63A3"/>
    <w:rsid w:val="00FC6258"/>
    <w:rsid w:val="00FC69AC"/>
    <w:rsid w:val="00FC7267"/>
    <w:rsid w:val="00FD0A7E"/>
    <w:rsid w:val="00FD10A4"/>
    <w:rsid w:val="00FD2944"/>
    <w:rsid w:val="00FD6628"/>
    <w:rsid w:val="00FD78ED"/>
    <w:rsid w:val="00FE1EAD"/>
    <w:rsid w:val="00FE24BF"/>
    <w:rsid w:val="00FE33BE"/>
    <w:rsid w:val="00FE3B39"/>
    <w:rsid w:val="00FE4E9A"/>
    <w:rsid w:val="00FE5E84"/>
    <w:rsid w:val="00FF0143"/>
    <w:rsid w:val="00FF139D"/>
    <w:rsid w:val="00FF620B"/>
    <w:rsid w:val="00FF6AE6"/>
    <w:rsid w:val="00FF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??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6F3"/>
    <w:pPr>
      <w:spacing w:after="200" w:line="276" w:lineRule="auto"/>
    </w:pPr>
    <w:rPr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64C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styleId="Akapitzlist">
    <w:name w:val="List Paragraph"/>
    <w:basedOn w:val="Normalny"/>
    <w:uiPriority w:val="99"/>
    <w:qFormat/>
    <w:rsid w:val="00E64C1B"/>
    <w:pPr>
      <w:spacing w:after="0" w:line="240" w:lineRule="auto"/>
      <w:ind w:left="720"/>
    </w:pPr>
    <w:rPr>
      <w:rFonts w:cs="Calibri"/>
    </w:rPr>
  </w:style>
  <w:style w:type="paragraph" w:customStyle="1" w:styleId="5Normal">
    <w:name w:val="5 Normal"/>
    <w:uiPriority w:val="99"/>
    <w:rsid w:val="00F31DF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Cs w:val="20"/>
      <w:lang w:val="en-GB" w:eastAsia="en-GB"/>
    </w:rPr>
  </w:style>
  <w:style w:type="paragraph" w:customStyle="1" w:styleId="Sous-titre1">
    <w:name w:val="Sous-titre 1"/>
    <w:basedOn w:val="Normalny"/>
    <w:next w:val="5Normal"/>
    <w:autoRedefine/>
    <w:uiPriority w:val="99"/>
    <w:rsid w:val="00F31DF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before="240" w:after="80" w:line="240" w:lineRule="auto"/>
    </w:pPr>
    <w:rPr>
      <w:rFonts w:ascii="Arial" w:hAnsi="Arial"/>
      <w:b/>
      <w:sz w:val="24"/>
      <w:szCs w:val="20"/>
    </w:rPr>
  </w:style>
  <w:style w:type="character" w:styleId="Hipercze">
    <w:name w:val="Hyperlink"/>
    <w:basedOn w:val="Domylnaczcionkaakapitu"/>
    <w:uiPriority w:val="99"/>
    <w:rsid w:val="00F31DF9"/>
    <w:rPr>
      <w:rFonts w:cs="Times New Roman"/>
      <w:color w:val="0000FF"/>
      <w:u w:val="single"/>
    </w:rPr>
  </w:style>
  <w:style w:type="paragraph" w:customStyle="1" w:styleId="PointDouble0">
    <w:name w:val="PointDouble 0"/>
    <w:basedOn w:val="Default"/>
    <w:next w:val="Default"/>
    <w:uiPriority w:val="99"/>
    <w:rsid w:val="00F31DF9"/>
    <w:rPr>
      <w:color w:val="auto"/>
    </w:rPr>
  </w:style>
  <w:style w:type="paragraph" w:styleId="Nagwek">
    <w:name w:val="header"/>
    <w:basedOn w:val="Normalny"/>
    <w:link w:val="NagwekZnak"/>
    <w:uiPriority w:val="99"/>
    <w:rsid w:val="00E7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74B1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7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74B1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7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74B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037C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37CE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37CEA"/>
    <w:rPr>
      <w:rFonts w:cs="Times New Roman"/>
      <w:vertAlign w:val="superscript"/>
    </w:rPr>
  </w:style>
  <w:style w:type="paragraph" w:customStyle="1" w:styleId="ListBullet1">
    <w:name w:val="List Bullet 1"/>
    <w:basedOn w:val="Normalny"/>
    <w:uiPriority w:val="99"/>
    <w:rsid w:val="0023480C"/>
    <w:pPr>
      <w:numPr>
        <w:numId w:val="23"/>
      </w:numPr>
      <w:spacing w:after="0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Tekstpodstawowywcity">
    <w:name w:val="Body Text Indent"/>
    <w:basedOn w:val="Normalny"/>
    <w:link w:val="TekstpodstawowywcityZnak"/>
    <w:uiPriority w:val="99"/>
    <w:rsid w:val="0023480C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fr-FR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3480C"/>
    <w:rPr>
      <w:rFonts w:ascii="Times New Roman" w:hAnsi="Times New Roman" w:cs="Times New Roman"/>
      <w:sz w:val="20"/>
      <w:szCs w:val="20"/>
      <w:lang w:val="en-GB" w:eastAsia="fr-FR"/>
    </w:rPr>
  </w:style>
  <w:style w:type="paragraph" w:customStyle="1" w:styleId="06Bodycopy">
    <w:name w:val="06_Body copy"/>
    <w:basedOn w:val="Normalny"/>
    <w:link w:val="06BodycopyChar"/>
    <w:uiPriority w:val="99"/>
    <w:rsid w:val="0023480C"/>
    <w:pPr>
      <w:widowControl w:val="0"/>
      <w:suppressAutoHyphens/>
      <w:autoSpaceDE w:val="0"/>
      <w:autoSpaceDN w:val="0"/>
      <w:adjustRightInd w:val="0"/>
      <w:spacing w:after="0" w:line="216" w:lineRule="auto"/>
      <w:textAlignment w:val="center"/>
    </w:pPr>
    <w:rPr>
      <w:rFonts w:ascii="Arial" w:hAnsi="Arial"/>
      <w:color w:val="002E66"/>
      <w:sz w:val="20"/>
      <w:szCs w:val="20"/>
      <w:lang w:eastAsia="zh-CN"/>
    </w:rPr>
  </w:style>
  <w:style w:type="character" w:customStyle="1" w:styleId="06BodycopyChar">
    <w:name w:val="06_Body copy Char"/>
    <w:link w:val="06Bodycopy"/>
    <w:uiPriority w:val="99"/>
    <w:locked/>
    <w:rsid w:val="0023480C"/>
    <w:rPr>
      <w:rFonts w:ascii="Arial" w:hAnsi="Arial"/>
      <w:color w:val="002E66"/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2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ep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in.kala@enpa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therine.starkie@faep.org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1719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Proposal for a Directive on certain permitted</vt:lpstr>
    </vt:vector>
  </TitlesOfParts>
  <Company>Hewlett-Packard Company</Company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a Directive on certain permitted</dc:title>
  <dc:creator>Catherine Starkie</dc:creator>
  <cp:lastModifiedBy>Sekretariat</cp:lastModifiedBy>
  <cp:revision>2</cp:revision>
  <cp:lastPrinted>2011-10-11T11:50:00Z</cp:lastPrinted>
  <dcterms:created xsi:type="dcterms:W3CDTF">2011-10-11T11:53:00Z</dcterms:created>
  <dcterms:modified xsi:type="dcterms:W3CDTF">2011-10-11T11:53:00Z</dcterms:modified>
</cp:coreProperties>
</file>